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bCs w:val="0"/>
          <w:highlight w:val="none"/>
        </w:rPr>
      </w:pPr>
      <w:bookmarkStart w:id="0" w:name="_Toc430004101"/>
      <w:r>
        <w:rPr>
          <w:rFonts w:hint="eastAsia"/>
          <w:b/>
          <w:bCs w:val="0"/>
          <w:highlight w:val="none"/>
        </w:rPr>
        <w:t>综合素质课程人才培养方案（三年制）</w:t>
      </w:r>
      <w:bookmarkEnd w:id="0"/>
    </w:p>
    <w:p>
      <w:pPr>
        <w:jc w:val="center"/>
        <w:rPr>
          <w:b/>
          <w:bCs w:val="0"/>
          <w:highlight w:val="none"/>
        </w:rPr>
      </w:pPr>
      <w:r>
        <w:rPr>
          <w:rFonts w:hint="eastAsia"/>
          <w:b/>
          <w:bCs w:val="0"/>
          <w:highlight w:val="none"/>
        </w:rPr>
        <w:t>（</w:t>
      </w:r>
      <w:r>
        <w:rPr>
          <w:rFonts w:hint="eastAsia"/>
          <w:b/>
          <w:bCs w:val="0"/>
          <w:highlight w:val="yellow"/>
        </w:rPr>
        <w:t>20</w:t>
      </w:r>
      <w:r>
        <w:rPr>
          <w:rFonts w:hint="eastAsia"/>
          <w:b/>
          <w:bCs w:val="0"/>
          <w:highlight w:val="yellow"/>
          <w:lang w:val="en-US" w:eastAsia="zh-CN"/>
        </w:rPr>
        <w:t>22</w:t>
      </w:r>
      <w:r>
        <w:rPr>
          <w:rFonts w:hint="eastAsia"/>
          <w:b/>
          <w:bCs w:val="0"/>
          <w:highlight w:val="none"/>
        </w:rPr>
        <w:t>年版）</w:t>
      </w:r>
    </w:p>
    <w:p>
      <w:pPr>
        <w:pStyle w:val="8"/>
        <w:spacing w:before="0" w:beforeAutospacing="0" w:after="0" w:afterAutospacing="0" w:line="440" w:lineRule="exact"/>
        <w:jc w:val="center"/>
        <w:rPr>
          <w:sz w:val="32"/>
          <w:szCs w:val="32"/>
          <w:highlight w:val="none"/>
        </w:rPr>
      </w:pPr>
    </w:p>
    <w:p>
      <w:pPr>
        <w:pStyle w:val="8"/>
        <w:spacing w:before="0" w:beforeAutospacing="0" w:after="0" w:afterAutospacing="0" w:line="440" w:lineRule="exact"/>
        <w:ind w:firstLine="555"/>
        <w:rPr>
          <w:b/>
          <w:bCs/>
          <w:spacing w:val="-6"/>
          <w:sz w:val="28"/>
          <w:szCs w:val="28"/>
          <w:highlight w:val="none"/>
        </w:rPr>
      </w:pPr>
      <w:bookmarkStart w:id="1" w:name="_Toc419711792"/>
      <w:bookmarkStart w:id="2" w:name="_Toc423606069"/>
      <w:bookmarkStart w:id="3" w:name="_Toc419711116"/>
      <w:r>
        <w:rPr>
          <w:rFonts w:hint="eastAsia"/>
          <w:b/>
          <w:bCs/>
          <w:spacing w:val="-6"/>
          <w:sz w:val="28"/>
          <w:szCs w:val="28"/>
          <w:highlight w:val="none"/>
        </w:rPr>
        <w:t>一、培养目标及核心课程</w:t>
      </w:r>
      <w:bookmarkEnd w:id="1"/>
      <w:bookmarkEnd w:id="2"/>
      <w:bookmarkEnd w:id="3"/>
    </w:p>
    <w:p>
      <w:pPr>
        <w:widowControl/>
        <w:spacing w:line="440" w:lineRule="exact"/>
        <w:ind w:firstLine="480" w:firstLineChars="200"/>
        <w:jc w:val="left"/>
        <w:rPr>
          <w:rFonts w:ascii="宋体" w:hAnsi="宋体" w:cs="宋体"/>
          <w:sz w:val="24"/>
          <w:szCs w:val="24"/>
          <w:highlight w:val="none"/>
        </w:rPr>
      </w:pPr>
      <w:bookmarkStart w:id="4" w:name="_Toc419711117"/>
      <w:bookmarkStart w:id="5" w:name="_Toc419711793"/>
      <w:r>
        <w:rPr>
          <w:rFonts w:hint="eastAsia" w:ascii="宋体" w:hAnsi="宋体" w:cs="宋体"/>
          <w:sz w:val="24"/>
          <w:szCs w:val="24"/>
          <w:highlight w:val="none"/>
        </w:rPr>
        <w:t>综合素质课是基础教学部面向全院学生开设的课程。该课程紧紧围绕“立德树人为根本，必备文化为基础”的原则，培养学生形成崇高的理想信念，树立正确的世界观、人生观、价值观，培养良好的思想道德和法律素质，进一步提高分辨是非、善恶、美丑和加强自我修养的能力；同时，让学生掌握必须的文化基础知识，具有健康的身心素质，不断增强综合素质，拓展学术视野，最终成为高素质高技能应用型文化艺术人才。</w:t>
      </w:r>
    </w:p>
    <w:p>
      <w:pPr>
        <w:widowControl/>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核心课程为：</w:t>
      </w:r>
      <w:r>
        <w:rPr>
          <w:rFonts w:hint="eastAsia" w:ascii="宋体" w:hAnsi="宋体" w:cs="宋体"/>
          <w:color w:val="C00000"/>
          <w:sz w:val="24"/>
          <w:szCs w:val="24"/>
          <w:highlight w:val="none"/>
          <w:lang w:eastAsia="zh-CN"/>
        </w:rPr>
        <w:t>习近平新时代中国特色社会主义思想概论、思想道德与法治</w:t>
      </w:r>
      <w:r>
        <w:rPr>
          <w:rFonts w:hint="eastAsia" w:ascii="宋体" w:hAnsi="宋体" w:cs="宋体"/>
          <w:sz w:val="24"/>
          <w:szCs w:val="24"/>
          <w:highlight w:val="none"/>
        </w:rPr>
        <w:t>、毛泽东思想和中国特色社会主义理论体系概论、形势与政策教育</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国史党史、</w:t>
      </w:r>
      <w:r>
        <w:rPr>
          <w:rFonts w:hint="eastAsia" w:ascii="宋体" w:hAnsi="宋体" w:cs="宋体"/>
          <w:color w:val="auto"/>
          <w:sz w:val="24"/>
          <w:szCs w:val="24"/>
          <w:highlight w:val="none"/>
        </w:rPr>
        <w:t>大</w:t>
      </w:r>
      <w:r>
        <w:rPr>
          <w:rFonts w:hint="eastAsia" w:ascii="宋体" w:hAnsi="宋体" w:cs="宋体"/>
          <w:sz w:val="24"/>
          <w:szCs w:val="24"/>
          <w:highlight w:val="none"/>
        </w:rPr>
        <w:t>学生职业发展与就业指导、大学生心理健康教育、大学语文、大学英语、计算机应用基础、体育等。</w:t>
      </w:r>
    </w:p>
    <w:p>
      <w:pPr>
        <w:pStyle w:val="8"/>
        <w:spacing w:before="0" w:beforeAutospacing="0" w:after="0" w:afterAutospacing="0" w:line="440" w:lineRule="exact"/>
        <w:ind w:firstLine="555"/>
        <w:rPr>
          <w:b/>
          <w:bCs/>
          <w:spacing w:val="-6"/>
          <w:sz w:val="28"/>
          <w:szCs w:val="28"/>
          <w:highlight w:val="none"/>
        </w:rPr>
      </w:pPr>
      <w:bookmarkStart w:id="6" w:name="_Toc423606070"/>
      <w:r>
        <w:rPr>
          <w:rFonts w:hint="eastAsia"/>
          <w:b/>
          <w:bCs/>
          <w:spacing w:val="-6"/>
          <w:sz w:val="28"/>
          <w:szCs w:val="28"/>
          <w:highlight w:val="none"/>
        </w:rPr>
        <w:t>二、人才培养规格要求和知识、能力、素质结构</w:t>
      </w:r>
      <w:bookmarkEnd w:id="4"/>
      <w:bookmarkEnd w:id="5"/>
      <w:bookmarkEnd w:id="6"/>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1、政治思想基本要求</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（1）基本掌握</w:t>
      </w:r>
      <w:r>
        <w:rPr>
          <w:rFonts w:hint="eastAsia" w:ascii="宋体" w:hAnsi="宋体" w:cs="宋体"/>
          <w:color w:val="C00000"/>
          <w:sz w:val="24"/>
          <w:szCs w:val="24"/>
          <w:highlight w:val="none"/>
        </w:rPr>
        <w:t>马克思主义</w:t>
      </w:r>
      <w:r>
        <w:rPr>
          <w:rFonts w:hint="eastAsia" w:ascii="宋体" w:hAnsi="宋体" w:cs="宋体"/>
          <w:color w:val="C00000"/>
          <w:sz w:val="24"/>
          <w:szCs w:val="24"/>
          <w:highlight w:val="none"/>
          <w:lang w:val="en-US" w:eastAsia="zh-CN"/>
        </w:rPr>
        <w:t>基本原理</w:t>
      </w:r>
      <w:r>
        <w:rPr>
          <w:rFonts w:hint="eastAsia" w:ascii="宋体" w:hAnsi="宋体" w:cs="宋体"/>
          <w:color w:val="C00000"/>
          <w:sz w:val="24"/>
          <w:szCs w:val="24"/>
          <w:highlight w:val="none"/>
        </w:rPr>
        <w:t>、</w:t>
      </w:r>
      <w:r>
        <w:rPr>
          <w:rFonts w:hint="eastAsia" w:ascii="宋体" w:hAnsi="宋体" w:cs="宋体"/>
          <w:color w:val="C00000"/>
          <w:sz w:val="24"/>
          <w:szCs w:val="24"/>
          <w:highlight w:val="none"/>
          <w:lang w:val="en-US" w:eastAsia="zh-CN"/>
        </w:rPr>
        <w:t>毛泽东思想和中国特色社会主义理论体系</w:t>
      </w:r>
      <w:r>
        <w:rPr>
          <w:rFonts w:hint="eastAsia" w:ascii="宋体" w:hAnsi="宋体" w:cs="宋体"/>
          <w:color w:val="C00000"/>
          <w:sz w:val="24"/>
          <w:szCs w:val="24"/>
          <w:highlight w:val="none"/>
        </w:rPr>
        <w:t>、习近平新时代中国特色社会主义</w:t>
      </w:r>
      <w:r>
        <w:rPr>
          <w:rFonts w:hint="eastAsia" w:ascii="宋体" w:hAnsi="宋体" w:cs="宋体"/>
          <w:color w:val="C00000"/>
          <w:sz w:val="24"/>
          <w:szCs w:val="24"/>
          <w:highlight w:val="none"/>
          <w:lang w:eastAsia="zh-CN"/>
        </w:rPr>
        <w:t>思想</w:t>
      </w:r>
      <w:r>
        <w:rPr>
          <w:rFonts w:hint="eastAsia" w:ascii="宋体" w:hAnsi="宋体" w:cs="宋体"/>
          <w:color w:val="C00000"/>
          <w:sz w:val="24"/>
          <w:szCs w:val="24"/>
          <w:highlight w:val="none"/>
        </w:rPr>
        <w:t>，</w:t>
      </w:r>
      <w:r>
        <w:rPr>
          <w:rFonts w:hint="eastAsia" w:ascii="宋体" w:hAnsi="宋体" w:cs="宋体"/>
          <w:sz w:val="24"/>
          <w:szCs w:val="24"/>
          <w:highlight w:val="none"/>
        </w:rPr>
        <w:t>坚定在党的领导下走中国特色社会主义道路的理想信念。</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（2）了解基本国情和形势与政策，增强对改革开放和实现中华民族伟大复习的自觉性和坚定性，正确认识肩负的历史使命。</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（3）具有高尚的理想情操和良好的道德品质，树立科学的世界观，具有社会主义法制观念，树立文明的行为规范。</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（4）以“德艺双馨”为核心，坚持文艺为人民服务、为社会主义服务的方向，热爱文化艺术事业，具有良好的职业道德。</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2、基本知识、能力和素质要求</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（1）具有人文科学方面的基本知识，有相应文字和语言表达能力。</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（2）具有艺术基础知识，具有一定艺术修养和审美鉴赏力。</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（3）掌握英语基础知识，具有相应职业要求的听说读写的一般能力。</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（4）掌握计算机基本知识，具备基本计算机操作技能。</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（5）具有高度的职业责任感、踏实的作风、创新的精神、团结协作的职业素质和组织协调能力。</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3、身体、心理素质要求</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（1）了解体育运动的常识和基本知识，基本掌握锻炼身体的科学方法，养成良好的锻炼习惯，具有从事职业工作的健康体质。</w:t>
      </w:r>
    </w:p>
    <w:p>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（2）了解心理健康的基本知识，具有良好的心理素质和健全的人格。</w:t>
      </w:r>
    </w:p>
    <w:p>
      <w:pPr>
        <w:pStyle w:val="8"/>
        <w:spacing w:before="0" w:beforeAutospacing="0" w:after="0" w:afterAutospacing="0" w:line="440" w:lineRule="exact"/>
        <w:ind w:firstLine="555"/>
        <w:rPr>
          <w:b/>
          <w:bCs/>
          <w:spacing w:val="-6"/>
          <w:sz w:val="28"/>
          <w:szCs w:val="28"/>
          <w:highlight w:val="none"/>
        </w:rPr>
      </w:pPr>
      <w:bookmarkStart w:id="7" w:name="_Toc419711118"/>
      <w:bookmarkStart w:id="8" w:name="_Toc423606071"/>
      <w:bookmarkStart w:id="9" w:name="_Toc419711794"/>
      <w:r>
        <w:rPr>
          <w:rFonts w:hint="eastAsia"/>
          <w:b/>
          <w:bCs/>
          <w:sz w:val="28"/>
          <w:szCs w:val="28"/>
          <w:highlight w:val="none"/>
        </w:rPr>
        <w:t>三、</w:t>
      </w:r>
      <w:r>
        <w:rPr>
          <w:rFonts w:hint="eastAsia"/>
          <w:b/>
          <w:bCs/>
          <w:spacing w:val="-6"/>
          <w:sz w:val="28"/>
          <w:szCs w:val="28"/>
          <w:highlight w:val="none"/>
        </w:rPr>
        <w:t>课程结构</w:t>
      </w:r>
    </w:p>
    <w:p>
      <w:pPr>
        <w:pStyle w:val="8"/>
        <w:spacing w:before="0" w:beforeAutospacing="0" w:after="0" w:afterAutospacing="0" w:line="440" w:lineRule="exact"/>
        <w:ind w:firstLine="480" w:firstLineChars="200"/>
        <w:rPr>
          <w:highlight w:val="none"/>
        </w:rPr>
      </w:pPr>
      <w:r>
        <w:rPr>
          <w:rFonts w:hint="eastAsia"/>
          <w:highlight w:val="none"/>
        </w:rPr>
        <w:t>综合素质课共分为综合素质必修课、综合素质限定选修课和综合素质任意选修课三大类。</w:t>
      </w:r>
    </w:p>
    <w:bookmarkEnd w:id="7"/>
    <w:bookmarkEnd w:id="8"/>
    <w:bookmarkEnd w:id="9"/>
    <w:p>
      <w:pPr>
        <w:pStyle w:val="8"/>
        <w:spacing w:before="0" w:beforeAutospacing="0" w:after="0" w:afterAutospacing="0" w:line="440" w:lineRule="exact"/>
        <w:jc w:val="center"/>
        <w:rPr>
          <w:highlight w:val="none"/>
        </w:rPr>
      </w:pPr>
      <w:bookmarkStart w:id="10" w:name="_Toc419711119"/>
      <w:bookmarkStart w:id="11" w:name="_Toc423606072"/>
      <w:bookmarkStart w:id="12" w:name="_Toc419711795"/>
      <w:r>
        <w:rPr>
          <w:rFonts w:hint="eastAsia"/>
          <w:highlight w:val="none"/>
        </w:rPr>
        <w:t>课程结构比例表</w:t>
      </w:r>
      <w:bookmarkEnd w:id="10"/>
      <w:bookmarkEnd w:id="11"/>
      <w:bookmarkEnd w:id="12"/>
    </w:p>
    <w:tbl>
      <w:tblPr>
        <w:tblStyle w:val="5"/>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65"/>
        <w:gridCol w:w="1095"/>
        <w:gridCol w:w="968"/>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2"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课程性质</w:t>
            </w:r>
          </w:p>
        </w:tc>
        <w:tc>
          <w:tcPr>
            <w:tcW w:w="1095" w:type="dxa"/>
            <w:vAlign w:val="center"/>
          </w:tcPr>
          <w:p>
            <w:pPr>
              <w:jc w:val="center"/>
              <w:rPr>
                <w:rFonts w:ascii="宋体" w:hAnsi="宋体" w:cs="宋体"/>
                <w:color w:val="auto"/>
                <w:highlight w:val="none"/>
              </w:rPr>
            </w:pPr>
            <w:r>
              <w:rPr>
                <w:rFonts w:hint="eastAsia" w:ascii="宋体" w:hAnsi="宋体" w:cs="宋体"/>
                <w:color w:val="auto"/>
                <w:kern w:val="0"/>
                <w:highlight w:val="none"/>
              </w:rPr>
              <w:t>学分</w:t>
            </w:r>
          </w:p>
        </w:tc>
        <w:tc>
          <w:tcPr>
            <w:tcW w:w="968"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学时</w:t>
            </w:r>
          </w:p>
        </w:tc>
        <w:tc>
          <w:tcPr>
            <w:tcW w:w="4950"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必修</w:t>
            </w: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必修课</w:t>
            </w:r>
          </w:p>
        </w:tc>
        <w:tc>
          <w:tcPr>
            <w:tcW w:w="1095" w:type="dxa"/>
            <w:vAlign w:val="center"/>
          </w:tcPr>
          <w:p>
            <w:pPr>
              <w:jc w:val="center"/>
              <w:rPr>
                <w:rFonts w:hint="default" w:ascii="宋体" w:hAnsi="宋体" w:cs="宋体"/>
                <w:color w:val="auto"/>
                <w:highlight w:val="cyan"/>
                <w:lang w:val="en-US"/>
              </w:rPr>
            </w:pPr>
            <w:r>
              <w:rPr>
                <w:rFonts w:hint="eastAsia" w:ascii="宋体" w:hAnsi="宋体" w:cs="宋体"/>
                <w:b/>
                <w:bCs/>
                <w:color w:val="auto"/>
                <w:highlight w:val="cyan"/>
                <w:lang w:val="en-US" w:eastAsia="zh-CN"/>
              </w:rPr>
              <w:t>22.5</w:t>
            </w:r>
            <w:r>
              <w:rPr>
                <w:rFonts w:hint="eastAsia" w:ascii="宋体" w:hAnsi="宋体" w:cs="宋体"/>
                <w:b/>
                <w:bCs/>
                <w:color w:val="auto"/>
                <w:highlight w:val="cyan"/>
              </w:rPr>
              <w:t>或</w:t>
            </w:r>
            <w:r>
              <w:rPr>
                <w:rFonts w:hint="eastAsia" w:ascii="宋体" w:hAnsi="宋体" w:cs="宋体"/>
                <w:b/>
                <w:bCs/>
                <w:color w:val="auto"/>
                <w:highlight w:val="cyan"/>
                <w:lang w:val="en-US" w:eastAsia="zh-CN"/>
              </w:rPr>
              <w:t>20</w:t>
            </w:r>
          </w:p>
        </w:tc>
        <w:tc>
          <w:tcPr>
            <w:tcW w:w="968" w:type="dxa"/>
            <w:vAlign w:val="center"/>
          </w:tcPr>
          <w:p>
            <w:pPr>
              <w:jc w:val="center"/>
              <w:rPr>
                <w:rFonts w:hint="default" w:ascii="宋体" w:hAnsi="宋体" w:cs="宋体"/>
                <w:color w:val="auto"/>
                <w:kern w:val="0"/>
                <w:highlight w:val="cyan"/>
                <w:lang w:val="en-US"/>
              </w:rPr>
            </w:pPr>
            <w:r>
              <w:rPr>
                <w:rFonts w:hint="eastAsia" w:ascii="宋体" w:hAnsi="宋体" w:cs="宋体"/>
                <w:b/>
                <w:bCs/>
                <w:color w:val="auto"/>
                <w:kern w:val="0"/>
                <w:highlight w:val="cyan"/>
                <w:lang w:val="en-US" w:eastAsia="zh-CN"/>
              </w:rPr>
              <w:t>518</w:t>
            </w:r>
            <w:r>
              <w:rPr>
                <w:rFonts w:hint="eastAsia" w:ascii="宋体" w:hAnsi="宋体" w:cs="宋体"/>
                <w:b/>
                <w:bCs/>
                <w:color w:val="auto"/>
                <w:kern w:val="0"/>
                <w:highlight w:val="cyan"/>
              </w:rPr>
              <w:t>或</w:t>
            </w:r>
            <w:r>
              <w:rPr>
                <w:rFonts w:hint="eastAsia" w:ascii="宋体" w:hAnsi="宋体" w:cs="宋体"/>
                <w:b/>
                <w:bCs/>
                <w:color w:val="auto"/>
                <w:kern w:val="0"/>
                <w:highlight w:val="cyan"/>
                <w:lang w:val="en-US" w:eastAsia="zh-CN"/>
              </w:rPr>
              <w:t>444</w:t>
            </w:r>
          </w:p>
        </w:tc>
        <w:tc>
          <w:tcPr>
            <w:tcW w:w="4950" w:type="dxa"/>
            <w:vAlign w:val="center"/>
          </w:tcPr>
          <w:p>
            <w:pPr>
              <w:numPr>
                <w:ilvl w:val="0"/>
                <w:numId w:val="1"/>
              </w:numP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设体育课的专业共计</w:t>
            </w:r>
            <w:r>
              <w:rPr>
                <w:rFonts w:hint="eastAsia" w:ascii="宋体" w:hAnsi="宋体" w:cs="宋体"/>
                <w:b/>
                <w:bCs/>
                <w:color w:val="auto"/>
                <w:kern w:val="0"/>
                <w:sz w:val="18"/>
                <w:szCs w:val="18"/>
                <w:highlight w:val="cyan"/>
                <w:lang w:val="en-US" w:eastAsia="zh-CN"/>
              </w:rPr>
              <w:t>22.5</w:t>
            </w:r>
            <w:r>
              <w:rPr>
                <w:rFonts w:hint="eastAsia" w:ascii="宋体" w:hAnsi="宋体" w:cs="宋体"/>
                <w:color w:val="auto"/>
                <w:kern w:val="0"/>
                <w:sz w:val="18"/>
                <w:szCs w:val="18"/>
                <w:highlight w:val="none"/>
              </w:rPr>
              <w:t>学分；</w:t>
            </w:r>
          </w:p>
          <w:p>
            <w:pPr>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不设体育课的专业共计</w:t>
            </w:r>
            <w:r>
              <w:rPr>
                <w:rFonts w:hint="eastAsia" w:ascii="宋体" w:hAnsi="宋体" w:cs="宋体"/>
                <w:b/>
                <w:bCs/>
                <w:color w:val="auto"/>
                <w:kern w:val="0"/>
                <w:sz w:val="18"/>
                <w:szCs w:val="18"/>
                <w:highlight w:val="cyan"/>
                <w:lang w:val="en-US" w:eastAsia="zh-CN"/>
              </w:rPr>
              <w:t>20</w:t>
            </w:r>
            <w:r>
              <w:rPr>
                <w:rFonts w:hint="eastAsia" w:ascii="宋体" w:hAnsi="宋体" w:cs="宋体"/>
                <w:color w:val="auto"/>
                <w:kern w:val="0"/>
                <w:sz w:val="18"/>
                <w:szCs w:val="18"/>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restart"/>
            <w:vAlign w:val="center"/>
          </w:tcPr>
          <w:p>
            <w:pPr>
              <w:jc w:val="center"/>
              <w:rPr>
                <w:rFonts w:ascii="宋体" w:hAnsi="宋体" w:cs="宋体"/>
                <w:color w:val="auto"/>
                <w:kern w:val="0"/>
                <w:highlight w:val="none"/>
              </w:rPr>
            </w:pPr>
            <w:r>
              <w:rPr>
                <w:rFonts w:hint="eastAsia" w:ascii="宋体" w:hAnsi="宋体" w:cs="宋体"/>
                <w:color w:val="auto"/>
                <w:kern w:val="0"/>
                <w:highlight w:val="none"/>
              </w:rPr>
              <w:t>选修</w:t>
            </w: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限定选修课</w:t>
            </w:r>
          </w:p>
        </w:tc>
        <w:tc>
          <w:tcPr>
            <w:tcW w:w="1095" w:type="dxa"/>
            <w:vAlign w:val="center"/>
          </w:tcPr>
          <w:p>
            <w:pPr>
              <w:jc w:val="center"/>
              <w:rPr>
                <w:rFonts w:hint="eastAsia" w:ascii="宋体" w:hAnsi="宋体" w:eastAsia="宋体" w:cs="宋体"/>
                <w:color w:val="auto"/>
                <w:highlight w:val="yellow"/>
                <w:lang w:eastAsia="zh-CN"/>
              </w:rPr>
            </w:pPr>
            <w:r>
              <w:rPr>
                <w:rFonts w:hint="eastAsia" w:ascii="宋体" w:hAnsi="宋体" w:cs="宋体"/>
                <w:color w:val="auto"/>
                <w:highlight w:val="yellow"/>
                <w:lang w:val="en-US" w:eastAsia="zh-CN"/>
              </w:rPr>
              <w:t>6</w:t>
            </w:r>
          </w:p>
        </w:tc>
        <w:tc>
          <w:tcPr>
            <w:tcW w:w="968" w:type="dxa"/>
            <w:vAlign w:val="center"/>
          </w:tcPr>
          <w:p>
            <w:pPr>
              <w:jc w:val="center"/>
              <w:rPr>
                <w:rFonts w:hint="eastAsia" w:ascii="宋体" w:hAnsi="宋体" w:eastAsia="宋体" w:cs="宋体"/>
                <w:color w:val="auto"/>
                <w:kern w:val="0"/>
                <w:highlight w:val="yellow"/>
                <w:lang w:eastAsia="zh-CN"/>
              </w:rPr>
            </w:pPr>
            <w:r>
              <w:rPr>
                <w:rFonts w:hint="eastAsia" w:ascii="宋体" w:hAnsi="宋体" w:cs="宋体"/>
                <w:color w:val="auto"/>
                <w:kern w:val="0"/>
                <w:highlight w:val="yellow"/>
                <w:lang w:val="en-US" w:eastAsia="zh-CN"/>
              </w:rPr>
              <w:t>78</w:t>
            </w:r>
          </w:p>
        </w:tc>
        <w:tc>
          <w:tcPr>
            <w:tcW w:w="4950" w:type="dxa"/>
            <w:vAlign w:val="center"/>
          </w:tcPr>
          <w:p>
            <w:pPr>
              <w:widowControl/>
              <w:numPr>
                <w:ilvl w:val="0"/>
                <w:numId w:val="0"/>
              </w:numPr>
              <w:jc w:val="left"/>
              <w:rPr>
                <w:rFonts w:hint="eastAsia" w:ascii="宋体" w:hAnsi="宋体" w:eastAsia="宋体" w:cs="宋体"/>
                <w:color w:val="auto"/>
                <w:kern w:val="0"/>
                <w:szCs w:val="21"/>
                <w:highlight w:val="yellow"/>
                <w:lang w:eastAsia="zh-CN"/>
              </w:rPr>
            </w:pPr>
            <w:r>
              <w:rPr>
                <w:rFonts w:hint="eastAsia" w:ascii="宋体" w:hAnsi="宋体" w:cs="宋体"/>
                <w:color w:val="auto"/>
                <w:kern w:val="0"/>
                <w:sz w:val="18"/>
                <w:szCs w:val="18"/>
                <w:highlight w:val="yellow"/>
              </w:rPr>
              <w:t>最低须修6学分（其中文史类、外语类、综合类各2学分）</w:t>
            </w:r>
            <w:r>
              <w:rPr>
                <w:rFonts w:hint="eastAsia" w:ascii="宋体" w:hAnsi="宋体" w:cs="宋体"/>
                <w:color w:val="auto"/>
                <w:kern w:val="0"/>
                <w:sz w:val="18"/>
                <w:szCs w:val="18"/>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continue"/>
            <w:vAlign w:val="center"/>
          </w:tcPr>
          <w:p>
            <w:pPr>
              <w:jc w:val="center"/>
              <w:rPr>
                <w:rFonts w:ascii="宋体" w:hAnsi="宋体" w:cs="宋体"/>
                <w:color w:val="auto"/>
                <w:kern w:val="0"/>
                <w:highlight w:val="none"/>
              </w:rPr>
            </w:pP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任意选修课</w:t>
            </w:r>
          </w:p>
        </w:tc>
        <w:tc>
          <w:tcPr>
            <w:tcW w:w="1095"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8或10</w:t>
            </w:r>
          </w:p>
        </w:tc>
        <w:tc>
          <w:tcPr>
            <w:tcW w:w="968"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128或160</w:t>
            </w:r>
          </w:p>
        </w:tc>
        <w:tc>
          <w:tcPr>
            <w:tcW w:w="4950" w:type="dxa"/>
            <w:vAlign w:val="center"/>
          </w:tcPr>
          <w:p>
            <w:pPr>
              <w:widowControl/>
              <w:numPr>
                <w:ilvl w:val="0"/>
                <w:numId w:val="0"/>
              </w:numPr>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最低须修8学分（其中文史类、外语类最低2学分）；</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yellow"/>
                <w:lang w:val="en-US" w:eastAsia="zh-CN"/>
              </w:rPr>
              <w:t>2.</w:t>
            </w:r>
            <w:r>
              <w:rPr>
                <w:rFonts w:hint="eastAsia" w:ascii="宋体" w:hAnsi="宋体" w:cs="宋体"/>
                <w:color w:val="auto"/>
                <w:kern w:val="0"/>
                <w:sz w:val="18"/>
                <w:szCs w:val="18"/>
                <w:highlight w:val="yellow"/>
              </w:rPr>
              <w:t>不设体育</w:t>
            </w:r>
            <w:r>
              <w:rPr>
                <w:rFonts w:hint="eastAsia" w:ascii="宋体" w:hAnsi="宋体" w:cs="宋体"/>
                <w:color w:val="auto"/>
                <w:kern w:val="0"/>
                <w:sz w:val="18"/>
                <w:szCs w:val="18"/>
                <w:highlight w:val="yellow"/>
                <w:lang w:eastAsia="zh-CN"/>
              </w:rPr>
              <w:t>课的</w:t>
            </w:r>
            <w:r>
              <w:rPr>
                <w:rFonts w:hint="eastAsia" w:ascii="宋体" w:hAnsi="宋体" w:cs="宋体"/>
                <w:color w:val="auto"/>
                <w:kern w:val="0"/>
                <w:sz w:val="18"/>
                <w:szCs w:val="18"/>
                <w:highlight w:val="yellow"/>
              </w:rPr>
              <w:t>专业最低须修10学分（其中文史类、外语类最低2学分）；</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3.</w:t>
            </w:r>
            <w:r>
              <w:rPr>
                <w:rFonts w:hint="default" w:ascii="宋体" w:hAnsi="宋体" w:cs="宋体"/>
                <w:color w:val="auto"/>
                <w:kern w:val="0"/>
                <w:sz w:val="18"/>
                <w:szCs w:val="18"/>
                <w:highlight w:val="none"/>
              </w:rPr>
              <w:t>鼓励学生结合实际多选修，多修学分可以直接抵扣艺术素养拓展课学分</w:t>
            </w:r>
            <w:r>
              <w:rPr>
                <w:rFonts w:hint="eastAsia" w:ascii="宋体" w:hAnsi="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02"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合计</w:t>
            </w:r>
          </w:p>
        </w:tc>
        <w:tc>
          <w:tcPr>
            <w:tcW w:w="1095" w:type="dxa"/>
            <w:vAlign w:val="center"/>
          </w:tcPr>
          <w:p>
            <w:pPr>
              <w:jc w:val="center"/>
              <w:rPr>
                <w:rFonts w:hint="eastAsia" w:ascii="宋体" w:hAnsi="宋体" w:eastAsia="宋体" w:cs="宋体"/>
                <w:color w:val="auto"/>
                <w:highlight w:val="cyan"/>
                <w:lang w:eastAsia="zh-CN"/>
              </w:rPr>
            </w:pPr>
            <w:r>
              <w:rPr>
                <w:rFonts w:hint="eastAsia" w:ascii="宋体" w:hAnsi="宋体" w:cs="宋体"/>
                <w:b/>
                <w:bCs/>
                <w:color w:val="auto"/>
                <w:kern w:val="0"/>
                <w:highlight w:val="cyan"/>
                <w:lang w:val="en-US" w:eastAsia="zh-CN"/>
              </w:rPr>
              <w:t>36.5或36</w:t>
            </w:r>
          </w:p>
        </w:tc>
        <w:tc>
          <w:tcPr>
            <w:tcW w:w="968" w:type="dxa"/>
            <w:vAlign w:val="center"/>
          </w:tcPr>
          <w:p>
            <w:pPr>
              <w:jc w:val="center"/>
              <w:rPr>
                <w:rFonts w:hint="default" w:ascii="宋体" w:hAnsi="宋体" w:eastAsia="宋体" w:cs="宋体"/>
                <w:color w:val="auto"/>
                <w:kern w:val="0"/>
                <w:highlight w:val="cyan"/>
                <w:lang w:val="en-US" w:eastAsia="zh-CN"/>
              </w:rPr>
            </w:pPr>
            <w:r>
              <w:rPr>
                <w:rFonts w:hint="eastAsia" w:ascii="宋体" w:hAnsi="宋体" w:cs="宋体"/>
                <w:b/>
                <w:bCs/>
                <w:color w:val="auto"/>
                <w:kern w:val="0"/>
                <w:highlight w:val="cyan"/>
                <w:lang w:val="en-US" w:eastAsia="zh-CN"/>
              </w:rPr>
              <w:t>724或682</w:t>
            </w:r>
          </w:p>
        </w:tc>
        <w:tc>
          <w:tcPr>
            <w:tcW w:w="4950" w:type="dxa"/>
            <w:vAlign w:val="center"/>
          </w:tcPr>
          <w:p>
            <w:pPr>
              <w:jc w:val="center"/>
              <w:rPr>
                <w:rFonts w:ascii="宋体" w:hAnsi="宋体" w:cs="宋体"/>
                <w:color w:val="auto"/>
                <w:kern w:val="0"/>
                <w:highlight w:val="none"/>
              </w:rPr>
            </w:pPr>
          </w:p>
        </w:tc>
      </w:tr>
    </w:tbl>
    <w:p>
      <w:pPr>
        <w:pStyle w:val="8"/>
        <w:spacing w:before="0" w:beforeAutospacing="0" w:after="0" w:afterAutospacing="0" w:line="440" w:lineRule="exact"/>
        <w:ind w:firstLine="480" w:firstLineChars="200"/>
        <w:rPr>
          <w:color w:val="auto"/>
          <w:highlight w:val="none"/>
        </w:rPr>
      </w:pPr>
      <w:bookmarkStart w:id="13" w:name="_Toc423606073"/>
      <w:bookmarkStart w:id="14" w:name="_Toc419711796"/>
      <w:bookmarkStart w:id="15" w:name="_Toc419711120"/>
      <w:bookmarkStart w:id="16" w:name="_Toc423606074"/>
      <w:bookmarkStart w:id="17" w:name="_Toc419711121"/>
      <w:bookmarkStart w:id="18" w:name="_Toc419711797"/>
    </w:p>
    <w:p>
      <w:pPr>
        <w:pStyle w:val="8"/>
        <w:spacing w:before="0" w:beforeAutospacing="0" w:after="0" w:afterAutospacing="0" w:line="440" w:lineRule="exact"/>
        <w:ind w:firstLine="555"/>
        <w:rPr>
          <w:b/>
          <w:bCs/>
          <w:color w:val="auto"/>
          <w:spacing w:val="-6"/>
          <w:sz w:val="28"/>
          <w:szCs w:val="28"/>
          <w:highlight w:val="none"/>
        </w:rPr>
      </w:pPr>
      <w:r>
        <w:rPr>
          <w:rFonts w:hint="eastAsia"/>
          <w:b/>
          <w:bCs/>
          <w:color w:val="auto"/>
          <w:spacing w:val="-6"/>
          <w:sz w:val="28"/>
          <w:szCs w:val="28"/>
          <w:highlight w:val="none"/>
        </w:rPr>
        <w:t>四、教学进程表</w:t>
      </w:r>
      <w:bookmarkEnd w:id="13"/>
      <w:bookmarkEnd w:id="14"/>
      <w:bookmarkEnd w:id="15"/>
      <w:r>
        <w:rPr>
          <w:rFonts w:hint="eastAsia"/>
          <w:b/>
          <w:bCs/>
          <w:color w:val="auto"/>
          <w:spacing w:val="-6"/>
          <w:sz w:val="28"/>
          <w:szCs w:val="28"/>
          <w:highlight w:val="none"/>
        </w:rPr>
        <w:t>（见附表）</w:t>
      </w:r>
    </w:p>
    <w:p>
      <w:pPr>
        <w:pStyle w:val="8"/>
        <w:spacing w:before="0" w:beforeAutospacing="0" w:after="0" w:afterAutospacing="0" w:line="440" w:lineRule="exact"/>
        <w:ind w:firstLine="480" w:firstLineChars="200"/>
        <w:rPr>
          <w:color w:val="auto"/>
          <w:highlight w:val="none"/>
        </w:rPr>
      </w:pPr>
    </w:p>
    <w:p>
      <w:pPr>
        <w:pStyle w:val="8"/>
        <w:spacing w:before="0" w:beforeAutospacing="0" w:after="0" w:afterAutospacing="0" w:line="440" w:lineRule="exact"/>
        <w:ind w:firstLine="555"/>
        <w:rPr>
          <w:b/>
          <w:bCs/>
          <w:color w:val="auto"/>
          <w:spacing w:val="-6"/>
          <w:sz w:val="28"/>
          <w:szCs w:val="28"/>
          <w:highlight w:val="none"/>
        </w:rPr>
      </w:pPr>
      <w:r>
        <w:rPr>
          <w:rFonts w:hint="eastAsia"/>
          <w:b/>
          <w:bCs/>
          <w:color w:val="auto"/>
          <w:spacing w:val="-6"/>
          <w:sz w:val="28"/>
          <w:szCs w:val="28"/>
          <w:highlight w:val="none"/>
        </w:rPr>
        <w:t>五、必要的说明</w:t>
      </w:r>
      <w:bookmarkEnd w:id="16"/>
      <w:bookmarkEnd w:id="17"/>
      <w:bookmarkEnd w:id="18"/>
    </w:p>
    <w:p>
      <w:pPr>
        <w:pStyle w:val="8"/>
        <w:spacing w:before="0" w:beforeAutospacing="0" w:after="0" w:afterAutospacing="0" w:line="440" w:lineRule="exact"/>
        <w:ind w:firstLine="480" w:firstLineChars="200"/>
        <w:rPr>
          <w:color w:val="auto"/>
          <w:highlight w:val="none"/>
        </w:rPr>
      </w:pPr>
      <w:r>
        <w:rPr>
          <w:rFonts w:hint="eastAsia"/>
          <w:color w:val="auto"/>
          <w:highlight w:val="none"/>
        </w:rPr>
        <w:t>1、本教学计划本着实用为主、够用为度的原则修订，旨在提高学生的综合文化素养。</w:t>
      </w:r>
    </w:p>
    <w:p>
      <w:pPr>
        <w:pStyle w:val="8"/>
        <w:spacing w:before="0" w:beforeAutospacing="0" w:after="0" w:afterAutospacing="0" w:line="440" w:lineRule="exact"/>
        <w:ind w:firstLine="482" w:firstLineChars="200"/>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关于</w:t>
      </w:r>
      <w:r>
        <w:rPr>
          <w:rFonts w:hint="eastAsia"/>
          <w:b/>
          <w:bCs/>
          <w:color w:val="auto"/>
          <w:highlight w:val="none"/>
          <w:lang w:eastAsia="zh-CN"/>
        </w:rPr>
        <w:t>课程学分置换要求：</w:t>
      </w:r>
    </w:p>
    <w:p>
      <w:pPr>
        <w:pStyle w:val="8"/>
        <w:spacing w:before="0" w:beforeAutospacing="0" w:after="0" w:afterAutospacing="0" w:line="440" w:lineRule="exact"/>
        <w:ind w:firstLine="480" w:firstLineChars="200"/>
        <w:rPr>
          <w:rFonts w:hint="eastAsia"/>
          <w:color w:val="auto"/>
          <w:highlight w:val="none"/>
        </w:rPr>
      </w:pPr>
      <w:r>
        <w:rPr>
          <w:rFonts w:hint="eastAsia"/>
          <w:color w:val="auto"/>
          <w:highlight w:val="none"/>
        </w:rPr>
        <w:t>（一）</w:t>
      </w:r>
      <w:r>
        <w:rPr>
          <w:rFonts w:hint="eastAsia"/>
          <w:color w:val="auto"/>
          <w:highlight w:val="none"/>
          <w:lang w:eastAsia="zh-CN"/>
        </w:rPr>
        <w:t>凡</w:t>
      </w:r>
      <w:r>
        <w:rPr>
          <w:rFonts w:hint="eastAsia"/>
          <w:color w:val="auto"/>
          <w:highlight w:val="none"/>
        </w:rPr>
        <w:t>通过全国高校英语应用能力水平考试A级或浙江省大学英语三级考试及以上等级，可申请</w:t>
      </w:r>
      <w:r>
        <w:rPr>
          <w:rFonts w:hint="eastAsia"/>
          <w:color w:val="auto"/>
          <w:highlight w:val="none"/>
          <w:lang w:eastAsia="zh-CN"/>
        </w:rPr>
        <w:t>置换</w:t>
      </w:r>
      <w:r>
        <w:rPr>
          <w:rFonts w:hint="eastAsia"/>
          <w:color w:val="auto"/>
          <w:highlight w:val="none"/>
        </w:rPr>
        <w:t>综合素质任选课外语类2学分。通过浙江省大学生计算机一级及以上等级的学生，可申请</w:t>
      </w:r>
      <w:r>
        <w:rPr>
          <w:rFonts w:hint="eastAsia"/>
          <w:color w:val="auto"/>
          <w:highlight w:val="none"/>
          <w:lang w:eastAsia="zh-CN"/>
        </w:rPr>
        <w:t>置换</w:t>
      </w:r>
      <w:r>
        <w:rPr>
          <w:rFonts w:hint="eastAsia"/>
          <w:color w:val="auto"/>
          <w:highlight w:val="none"/>
        </w:rPr>
        <w:t>综</w:t>
      </w:r>
      <w:bookmarkStart w:id="19" w:name="_GoBack"/>
      <w:bookmarkEnd w:id="19"/>
      <w:r>
        <w:rPr>
          <w:rFonts w:hint="eastAsia"/>
          <w:color w:val="auto"/>
          <w:highlight w:val="none"/>
        </w:rPr>
        <w:t>合素质任选课综合类2学分。</w:t>
      </w:r>
    </w:p>
    <w:p>
      <w:pPr>
        <w:pStyle w:val="8"/>
        <w:spacing w:before="0" w:beforeAutospacing="0" w:after="0" w:afterAutospacing="0" w:line="440" w:lineRule="exact"/>
        <w:ind w:left="479" w:leftChars="228" w:firstLine="0" w:firstLineChars="0"/>
        <w:rPr>
          <w:rFonts w:hint="eastAsia"/>
          <w:color w:val="auto"/>
          <w:highlight w:val="none"/>
        </w:rPr>
      </w:pPr>
      <w:r>
        <w:rPr>
          <w:rFonts w:hint="eastAsia"/>
          <w:color w:val="auto"/>
          <w:highlight w:val="none"/>
        </w:rPr>
        <w:t>（二）取得专升本录取通知书的学生，可申请</w:t>
      </w:r>
      <w:r>
        <w:rPr>
          <w:rFonts w:hint="eastAsia"/>
          <w:color w:val="auto"/>
          <w:highlight w:val="none"/>
          <w:lang w:eastAsia="zh-CN"/>
        </w:rPr>
        <w:t>置换</w:t>
      </w:r>
      <w:r>
        <w:rPr>
          <w:rFonts w:hint="eastAsia"/>
          <w:color w:val="auto"/>
          <w:highlight w:val="none"/>
        </w:rPr>
        <w:t>任选课2学分。</w:t>
      </w:r>
    </w:p>
    <w:p>
      <w:pPr>
        <w:pStyle w:val="8"/>
        <w:spacing w:before="0" w:beforeAutospacing="0" w:after="0" w:afterAutospacing="0" w:line="440" w:lineRule="exact"/>
        <w:ind w:left="479" w:leftChars="228" w:firstLine="0" w:firstLineChars="0"/>
        <w:rPr>
          <w:highlight w:val="none"/>
        </w:rPr>
      </w:pPr>
      <w:r>
        <w:rPr>
          <w:rFonts w:hint="eastAsia"/>
          <w:color w:val="auto"/>
          <w:highlight w:val="none"/>
        </w:rPr>
        <w:t>3、关于考核、毕业</w:t>
      </w:r>
    </w:p>
    <w:p>
      <w:pPr>
        <w:pStyle w:val="8"/>
        <w:spacing w:before="0" w:beforeAutospacing="0" w:after="0" w:afterAutospacing="0" w:line="440" w:lineRule="exact"/>
        <w:ind w:firstLine="480" w:firstLineChars="200"/>
        <w:rPr>
          <w:highlight w:val="none"/>
        </w:rPr>
      </w:pPr>
      <w:r>
        <w:rPr>
          <w:rFonts w:hint="eastAsia"/>
          <w:highlight w:val="none"/>
        </w:rPr>
        <w:t>（1）学生每年必须参加体质健康标准测试，并在毕业前达到及格标准。</w:t>
      </w:r>
    </w:p>
    <w:p>
      <w:pPr>
        <w:pStyle w:val="8"/>
        <w:spacing w:before="0" w:beforeAutospacing="0" w:after="0" w:afterAutospacing="0" w:line="440" w:lineRule="exact"/>
        <w:ind w:firstLine="480" w:firstLineChars="200"/>
        <w:rPr>
          <w:highlight w:val="none"/>
        </w:rPr>
      </w:pPr>
      <w:r>
        <w:rPr>
          <w:rFonts w:hint="eastAsia"/>
          <w:highlight w:val="none"/>
        </w:rPr>
        <w:t>（2）学生必须在毕业前达到教学计划中规定的毕业最低学分限额和各类课程须修满的学分数。为了保证知识结构的合理性，所有必修课程的学分不能互相替代。学生选修总学分数即使已经达到毕业规定的最低学分要求，但只要某类课程的学分数不足，均不能取得毕业资格。</w:t>
      </w:r>
    </w:p>
    <w:p>
      <w:pPr>
        <w:pStyle w:val="8"/>
        <w:spacing w:before="0" w:beforeAutospacing="0" w:after="0" w:afterAutospacing="0" w:line="440" w:lineRule="exact"/>
        <w:ind w:firstLine="480" w:firstLineChars="200"/>
        <w:rPr>
          <w:highlight w:val="none"/>
        </w:rPr>
      </w:pPr>
    </w:p>
    <w:p>
      <w:pPr>
        <w:pStyle w:val="8"/>
        <w:spacing w:before="0" w:beforeAutospacing="0" w:after="0" w:afterAutospacing="0" w:line="440" w:lineRule="exact"/>
        <w:ind w:firstLine="480" w:firstLineChars="200"/>
        <w:rPr>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before="0" w:beforeAutospacing="0" w:after="0" w:afterAutospacing="0" w:line="440" w:lineRule="exact"/>
        <w:rPr>
          <w:sz w:val="32"/>
          <w:szCs w:val="32"/>
          <w:highlight w:val="none"/>
        </w:rPr>
      </w:pPr>
      <w:r>
        <w:rPr>
          <w:rFonts w:hint="eastAsia"/>
          <w:highlight w:val="none"/>
        </w:rPr>
        <w:t>附表：教学进程表</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95"/>
        <w:gridCol w:w="68"/>
        <w:gridCol w:w="507"/>
        <w:gridCol w:w="1725"/>
        <w:gridCol w:w="350"/>
        <w:gridCol w:w="328"/>
        <w:gridCol w:w="73"/>
        <w:gridCol w:w="422"/>
        <w:gridCol w:w="55"/>
        <w:gridCol w:w="350"/>
        <w:gridCol w:w="62"/>
        <w:gridCol w:w="425"/>
        <w:gridCol w:w="598"/>
        <w:gridCol w:w="650"/>
        <w:gridCol w:w="612"/>
        <w:gridCol w:w="663"/>
        <w:gridCol w:w="587"/>
        <w:gridCol w:w="63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tcBorders>
              <w:top w:val="single" w:color="auto" w:sz="4" w:space="0"/>
            </w:tcBorders>
            <w:vAlign w:val="center"/>
          </w:tcPr>
          <w:p>
            <w:pPr>
              <w:spacing w:line="240" w:lineRule="exact"/>
              <w:jc w:val="center"/>
              <w:rPr>
                <w:rFonts w:ascii="宋体" w:hAnsi="宋体" w:cs="宋体"/>
                <w:color w:val="auto"/>
                <w:sz w:val="18"/>
                <w:szCs w:val="18"/>
                <w:highlight w:val="none"/>
              </w:rPr>
            </w:pPr>
          </w:p>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w:t>
            </w:r>
          </w:p>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性质</w:t>
            </w:r>
          </w:p>
        </w:tc>
        <w:tc>
          <w:tcPr>
            <w:tcW w:w="495"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300" w:type="dxa"/>
            <w:gridSpan w:val="3"/>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课程名称</w:t>
            </w:r>
          </w:p>
        </w:tc>
        <w:tc>
          <w:tcPr>
            <w:tcW w:w="350"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课程类型</w:t>
            </w:r>
          </w:p>
        </w:tc>
        <w:tc>
          <w:tcPr>
            <w:tcW w:w="328"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课程学分</w:t>
            </w:r>
          </w:p>
        </w:tc>
        <w:tc>
          <w:tcPr>
            <w:tcW w:w="1387" w:type="dxa"/>
            <w:gridSpan w:val="6"/>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计划学时数</w:t>
            </w:r>
          </w:p>
        </w:tc>
        <w:tc>
          <w:tcPr>
            <w:tcW w:w="598"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考核方式</w:t>
            </w:r>
          </w:p>
        </w:tc>
        <w:tc>
          <w:tcPr>
            <w:tcW w:w="3762" w:type="dxa"/>
            <w:gridSpan w:val="6"/>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8"/>
                <w:szCs w:val="18"/>
                <w:highlight w:val="none"/>
              </w:rPr>
            </w:pPr>
          </w:p>
        </w:tc>
        <w:tc>
          <w:tcPr>
            <w:tcW w:w="495" w:type="dxa"/>
            <w:vMerge w:val="continue"/>
            <w:vAlign w:val="center"/>
          </w:tcPr>
          <w:p>
            <w:pPr>
              <w:spacing w:line="240" w:lineRule="exact"/>
              <w:jc w:val="center"/>
              <w:rPr>
                <w:rFonts w:ascii="宋体" w:hAnsi="宋体" w:cs="宋体"/>
                <w:color w:val="auto"/>
                <w:sz w:val="18"/>
                <w:szCs w:val="18"/>
                <w:highlight w:val="none"/>
              </w:rPr>
            </w:pPr>
          </w:p>
        </w:tc>
        <w:tc>
          <w:tcPr>
            <w:tcW w:w="2300" w:type="dxa"/>
            <w:gridSpan w:val="3"/>
            <w:vMerge w:val="continue"/>
            <w:vAlign w:val="center"/>
          </w:tcPr>
          <w:p>
            <w:pPr>
              <w:spacing w:line="240" w:lineRule="exact"/>
              <w:jc w:val="center"/>
              <w:rPr>
                <w:rFonts w:ascii="宋体" w:hAnsi="宋体" w:cs="宋体"/>
                <w:color w:val="auto"/>
                <w:sz w:val="18"/>
                <w:szCs w:val="18"/>
                <w:highlight w:val="none"/>
              </w:rPr>
            </w:pPr>
          </w:p>
        </w:tc>
        <w:tc>
          <w:tcPr>
            <w:tcW w:w="350" w:type="dxa"/>
            <w:vMerge w:val="continue"/>
            <w:vAlign w:val="center"/>
          </w:tcPr>
          <w:p>
            <w:pPr>
              <w:spacing w:line="240" w:lineRule="exact"/>
              <w:jc w:val="center"/>
              <w:rPr>
                <w:rFonts w:ascii="宋体" w:hAnsi="宋体" w:cs="宋体"/>
                <w:color w:val="auto"/>
                <w:sz w:val="18"/>
                <w:szCs w:val="18"/>
                <w:highlight w:val="none"/>
              </w:rPr>
            </w:pPr>
          </w:p>
        </w:tc>
        <w:tc>
          <w:tcPr>
            <w:tcW w:w="328" w:type="dxa"/>
            <w:vMerge w:val="continue"/>
            <w:vAlign w:val="center"/>
          </w:tcPr>
          <w:p>
            <w:pPr>
              <w:spacing w:line="240" w:lineRule="exact"/>
              <w:jc w:val="center"/>
              <w:rPr>
                <w:rFonts w:ascii="宋体" w:hAnsi="宋体" w:cs="宋体"/>
                <w:color w:val="auto"/>
                <w:sz w:val="18"/>
                <w:szCs w:val="18"/>
                <w:highlight w:val="none"/>
              </w:rPr>
            </w:pPr>
          </w:p>
        </w:tc>
        <w:tc>
          <w:tcPr>
            <w:tcW w:w="495" w:type="dxa"/>
            <w:gridSpan w:val="2"/>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共计</w:t>
            </w:r>
          </w:p>
        </w:tc>
        <w:tc>
          <w:tcPr>
            <w:tcW w:w="892" w:type="dxa"/>
            <w:gridSpan w:val="4"/>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其中</w:t>
            </w:r>
          </w:p>
        </w:tc>
        <w:tc>
          <w:tcPr>
            <w:tcW w:w="598" w:type="dxa"/>
            <w:vMerge w:val="continue"/>
            <w:vAlign w:val="center"/>
          </w:tcPr>
          <w:p>
            <w:pPr>
              <w:spacing w:line="240" w:lineRule="exact"/>
              <w:jc w:val="center"/>
              <w:rPr>
                <w:rFonts w:ascii="宋体" w:hAnsi="宋体" w:cs="宋体"/>
                <w:color w:val="auto"/>
                <w:sz w:val="18"/>
                <w:szCs w:val="18"/>
                <w:highlight w:val="none"/>
              </w:rPr>
            </w:pPr>
          </w:p>
        </w:tc>
        <w:tc>
          <w:tcPr>
            <w:tcW w:w="650"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一</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二</w:t>
            </w:r>
          </w:p>
        </w:tc>
        <w:tc>
          <w:tcPr>
            <w:tcW w:w="663"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三</w:t>
            </w:r>
          </w:p>
        </w:tc>
        <w:tc>
          <w:tcPr>
            <w:tcW w:w="587"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四</w:t>
            </w:r>
          </w:p>
        </w:tc>
        <w:tc>
          <w:tcPr>
            <w:tcW w:w="638"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五</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520" w:type="dxa"/>
            <w:vMerge w:val="continue"/>
            <w:vAlign w:val="center"/>
          </w:tcPr>
          <w:p>
            <w:pPr>
              <w:spacing w:line="240" w:lineRule="exact"/>
              <w:jc w:val="center"/>
              <w:rPr>
                <w:rFonts w:ascii="宋体" w:hAnsi="宋体" w:cs="宋体"/>
                <w:color w:val="auto"/>
                <w:sz w:val="18"/>
                <w:szCs w:val="18"/>
                <w:highlight w:val="none"/>
              </w:rPr>
            </w:pPr>
          </w:p>
        </w:tc>
        <w:tc>
          <w:tcPr>
            <w:tcW w:w="495" w:type="dxa"/>
            <w:vMerge w:val="continue"/>
            <w:vAlign w:val="center"/>
          </w:tcPr>
          <w:p>
            <w:pPr>
              <w:widowControl/>
              <w:spacing w:line="240" w:lineRule="exact"/>
              <w:jc w:val="center"/>
              <w:rPr>
                <w:rFonts w:ascii="宋体" w:hAnsi="宋体" w:cs="宋体"/>
                <w:color w:val="auto"/>
                <w:sz w:val="18"/>
                <w:szCs w:val="18"/>
                <w:highlight w:val="none"/>
              </w:rPr>
            </w:pPr>
          </w:p>
        </w:tc>
        <w:tc>
          <w:tcPr>
            <w:tcW w:w="2300" w:type="dxa"/>
            <w:gridSpan w:val="3"/>
            <w:vMerge w:val="continue"/>
            <w:vAlign w:val="center"/>
          </w:tcPr>
          <w:p>
            <w:pPr>
              <w:spacing w:line="240" w:lineRule="exact"/>
              <w:jc w:val="center"/>
              <w:rPr>
                <w:rFonts w:ascii="宋体" w:hAnsi="宋体" w:cs="宋体"/>
                <w:color w:val="auto"/>
                <w:sz w:val="18"/>
                <w:szCs w:val="18"/>
                <w:highlight w:val="none"/>
              </w:rPr>
            </w:pPr>
          </w:p>
        </w:tc>
        <w:tc>
          <w:tcPr>
            <w:tcW w:w="350" w:type="dxa"/>
            <w:vMerge w:val="continue"/>
            <w:vAlign w:val="center"/>
          </w:tcPr>
          <w:p>
            <w:pPr>
              <w:spacing w:line="240" w:lineRule="exact"/>
              <w:jc w:val="center"/>
              <w:rPr>
                <w:rFonts w:ascii="宋体" w:hAnsi="宋体" w:cs="宋体"/>
                <w:color w:val="auto"/>
                <w:sz w:val="18"/>
                <w:szCs w:val="18"/>
                <w:highlight w:val="none"/>
              </w:rPr>
            </w:pPr>
          </w:p>
        </w:tc>
        <w:tc>
          <w:tcPr>
            <w:tcW w:w="328" w:type="dxa"/>
            <w:vMerge w:val="continue"/>
            <w:vAlign w:val="center"/>
          </w:tcPr>
          <w:p>
            <w:pPr>
              <w:spacing w:line="240" w:lineRule="exact"/>
              <w:jc w:val="center"/>
              <w:rPr>
                <w:rFonts w:ascii="宋体" w:hAnsi="宋体" w:cs="宋体"/>
                <w:color w:val="auto"/>
                <w:sz w:val="18"/>
                <w:szCs w:val="18"/>
                <w:highlight w:val="none"/>
              </w:rPr>
            </w:pPr>
          </w:p>
        </w:tc>
        <w:tc>
          <w:tcPr>
            <w:tcW w:w="495" w:type="dxa"/>
            <w:gridSpan w:val="2"/>
            <w:vMerge w:val="continue"/>
            <w:vAlign w:val="center"/>
          </w:tcPr>
          <w:p>
            <w:pPr>
              <w:spacing w:line="240" w:lineRule="exact"/>
              <w:jc w:val="center"/>
              <w:rPr>
                <w:rFonts w:ascii="宋体" w:hAnsi="宋体" w:cs="宋体"/>
                <w:color w:val="auto"/>
                <w:sz w:val="18"/>
                <w:szCs w:val="18"/>
                <w:highlight w:val="none"/>
              </w:rPr>
            </w:pPr>
          </w:p>
        </w:tc>
        <w:tc>
          <w:tcPr>
            <w:tcW w:w="405" w:type="dxa"/>
            <w:gridSpan w:val="2"/>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理论</w:t>
            </w:r>
          </w:p>
        </w:tc>
        <w:tc>
          <w:tcPr>
            <w:tcW w:w="487" w:type="dxa"/>
            <w:gridSpan w:val="2"/>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实践</w:t>
            </w:r>
          </w:p>
        </w:tc>
        <w:tc>
          <w:tcPr>
            <w:tcW w:w="598" w:type="dxa"/>
            <w:vMerge w:val="continue"/>
            <w:vAlign w:val="center"/>
          </w:tcPr>
          <w:p>
            <w:pPr>
              <w:spacing w:line="240" w:lineRule="exact"/>
              <w:jc w:val="center"/>
              <w:rPr>
                <w:rFonts w:ascii="宋体" w:hAnsi="宋体" w:cs="宋体"/>
                <w:color w:val="auto"/>
                <w:sz w:val="18"/>
                <w:szCs w:val="18"/>
                <w:highlight w:val="none"/>
              </w:rPr>
            </w:pPr>
          </w:p>
        </w:tc>
        <w:tc>
          <w:tcPr>
            <w:tcW w:w="650"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13周</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663"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587"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638" w:type="dxa"/>
            <w:vAlign w:val="center"/>
          </w:tcPr>
          <w:p>
            <w:pPr>
              <w:spacing w:line="240" w:lineRule="exact"/>
              <w:jc w:val="center"/>
              <w:rPr>
                <w:rFonts w:ascii="宋体" w:hAnsi="宋体" w:cs="宋体"/>
                <w:color w:val="auto"/>
                <w:spacing w:val="-24"/>
                <w:sz w:val="18"/>
                <w:szCs w:val="18"/>
                <w:highlight w:val="none"/>
              </w:rPr>
            </w:pPr>
            <w:r>
              <w:rPr>
                <w:rFonts w:hint="eastAsia" w:ascii="宋体" w:hAnsi="宋体" w:cs="宋体"/>
                <w:color w:val="auto"/>
                <w:sz w:val="18"/>
                <w:szCs w:val="18"/>
                <w:highlight w:val="none"/>
              </w:rPr>
              <w:t>16周</w:t>
            </w:r>
          </w:p>
        </w:tc>
        <w:tc>
          <w:tcPr>
            <w:tcW w:w="612" w:type="dxa"/>
            <w:vAlign w:val="center"/>
          </w:tcPr>
          <w:p>
            <w:pPr>
              <w:widowControl/>
              <w:spacing w:line="24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综合素质必修课</w:t>
            </w:r>
          </w:p>
        </w:tc>
        <w:tc>
          <w:tcPr>
            <w:tcW w:w="495"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w:t>
            </w:r>
          </w:p>
        </w:tc>
        <w:tc>
          <w:tcPr>
            <w:tcW w:w="2300" w:type="dxa"/>
            <w:gridSpan w:val="3"/>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毛泽东思想和中国特色社会主义理论体系概论</w:t>
            </w:r>
          </w:p>
        </w:tc>
        <w:tc>
          <w:tcPr>
            <w:tcW w:w="3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shd w:val="clear" w:color="auto" w:fill="auto"/>
            <w:vAlign w:val="center"/>
          </w:tcPr>
          <w:p>
            <w:pPr>
              <w:widowControl/>
              <w:spacing w:line="240" w:lineRule="exact"/>
              <w:ind w:right="-141" w:rightChars="-67"/>
              <w:jc w:val="both"/>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9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32</w:t>
            </w:r>
          </w:p>
        </w:tc>
        <w:tc>
          <w:tcPr>
            <w:tcW w:w="40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26</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6</w:t>
            </w:r>
          </w:p>
        </w:tc>
        <w:tc>
          <w:tcPr>
            <w:tcW w:w="59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p>
        </w:tc>
        <w:tc>
          <w:tcPr>
            <w:tcW w:w="612" w:type="dxa"/>
            <w:shd w:val="clear" w:color="auto" w:fill="auto"/>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cs="宋体"/>
                <w:b w:val="0"/>
                <w:bCs w:val="0"/>
                <w:color w:val="C00000"/>
                <w:sz w:val="15"/>
                <w:szCs w:val="15"/>
                <w:highlight w:val="none"/>
              </w:rPr>
            </w:pPr>
            <w:r>
              <w:rPr>
                <w:rFonts w:hint="eastAsia" w:ascii="宋体" w:hAnsi="宋体" w:cs="宋体"/>
                <w:b w:val="0"/>
                <w:bCs w:val="0"/>
                <w:color w:val="C00000"/>
                <w:sz w:val="15"/>
                <w:szCs w:val="15"/>
                <w:highlight w:val="none"/>
              </w:rPr>
              <w:t>2</w:t>
            </w:r>
          </w:p>
        </w:tc>
        <w:tc>
          <w:tcPr>
            <w:tcW w:w="2300" w:type="dxa"/>
            <w:gridSpan w:val="3"/>
            <w:shd w:val="clear" w:color="auto" w:fill="auto"/>
            <w:vAlign w:val="center"/>
          </w:tcPr>
          <w:p>
            <w:pPr>
              <w:widowControl/>
              <w:spacing w:line="240" w:lineRule="exact"/>
              <w:ind w:right="-141" w:rightChars="-67"/>
              <w:jc w:val="center"/>
              <w:rPr>
                <w:rFonts w:hint="eastAsia" w:ascii="宋体" w:hAnsi="宋体" w:cs="宋体"/>
                <w:b w:val="0"/>
                <w:bCs w:val="0"/>
                <w:color w:val="C00000"/>
                <w:sz w:val="15"/>
                <w:szCs w:val="15"/>
                <w:highlight w:val="none"/>
              </w:rPr>
            </w:pPr>
            <w:r>
              <w:rPr>
                <w:rFonts w:hint="eastAsia" w:ascii="宋体" w:hAnsi="宋体" w:cs="宋体"/>
                <w:b w:val="0"/>
                <w:bCs w:val="0"/>
                <w:color w:val="C00000"/>
                <w:sz w:val="15"/>
                <w:szCs w:val="15"/>
                <w:highlight w:val="none"/>
                <w:lang w:eastAsia="zh-CN"/>
              </w:rPr>
              <w:t>习近平新时代中国特色社会主义思想概论</w:t>
            </w:r>
          </w:p>
        </w:tc>
        <w:tc>
          <w:tcPr>
            <w:tcW w:w="350" w:type="dxa"/>
            <w:shd w:val="clear" w:color="auto" w:fill="auto"/>
            <w:vAlign w:val="center"/>
          </w:tcPr>
          <w:p>
            <w:pPr>
              <w:spacing w:line="240" w:lineRule="exact"/>
              <w:jc w:val="center"/>
              <w:rPr>
                <w:rFonts w:hint="eastAsia" w:ascii="宋体" w:hAnsi="宋体" w:cs="宋体"/>
                <w:b w:val="0"/>
                <w:bCs w:val="0"/>
                <w:color w:val="C00000"/>
                <w:sz w:val="15"/>
                <w:szCs w:val="15"/>
                <w:highlight w:val="none"/>
              </w:rPr>
            </w:pPr>
            <w:r>
              <w:rPr>
                <w:rFonts w:hint="eastAsia" w:ascii="宋体" w:hAnsi="宋体" w:cs="宋体"/>
                <w:b w:val="0"/>
                <w:bCs w:val="0"/>
                <w:color w:val="C00000"/>
                <w:sz w:val="15"/>
                <w:szCs w:val="15"/>
                <w:highlight w:val="none"/>
              </w:rPr>
              <w:t>A</w:t>
            </w:r>
          </w:p>
        </w:tc>
        <w:tc>
          <w:tcPr>
            <w:tcW w:w="328" w:type="dxa"/>
            <w:shd w:val="clear" w:color="auto" w:fill="auto"/>
            <w:vAlign w:val="center"/>
          </w:tcPr>
          <w:p>
            <w:pPr>
              <w:widowControl/>
              <w:spacing w:line="240" w:lineRule="exact"/>
              <w:ind w:right="-141" w:rightChars="-67"/>
              <w:jc w:val="both"/>
              <w:rPr>
                <w:rFonts w:hint="eastAsia" w:ascii="宋体" w:hAnsi="宋体" w:eastAsia="宋体" w:cs="宋体"/>
                <w:b w:val="0"/>
                <w:bCs w:val="0"/>
                <w:color w:val="C00000"/>
                <w:sz w:val="15"/>
                <w:szCs w:val="15"/>
                <w:highlight w:val="none"/>
                <w:lang w:eastAsia="zh-CN"/>
              </w:rPr>
            </w:pPr>
            <w:r>
              <w:rPr>
                <w:rFonts w:hint="eastAsia" w:ascii="宋体" w:hAnsi="宋体" w:cs="宋体"/>
                <w:b w:val="0"/>
                <w:bCs w:val="0"/>
                <w:color w:val="C00000"/>
                <w:sz w:val="15"/>
                <w:szCs w:val="15"/>
                <w:highlight w:val="none"/>
                <w:lang w:val="en-US" w:eastAsia="zh-CN"/>
              </w:rPr>
              <w:t>3</w:t>
            </w:r>
          </w:p>
        </w:tc>
        <w:tc>
          <w:tcPr>
            <w:tcW w:w="495" w:type="dxa"/>
            <w:gridSpan w:val="2"/>
            <w:shd w:val="clear" w:color="auto" w:fill="auto"/>
            <w:vAlign w:val="center"/>
          </w:tcPr>
          <w:p>
            <w:pPr>
              <w:spacing w:line="240" w:lineRule="exact"/>
              <w:jc w:val="center"/>
              <w:rPr>
                <w:rFonts w:hint="default" w:ascii="宋体" w:hAnsi="宋体" w:eastAsia="宋体" w:cs="宋体"/>
                <w:b w:val="0"/>
                <w:bCs w:val="0"/>
                <w:color w:val="C00000"/>
                <w:sz w:val="15"/>
                <w:szCs w:val="15"/>
                <w:highlight w:val="none"/>
                <w:lang w:val="en-US" w:eastAsia="zh-CN"/>
              </w:rPr>
            </w:pPr>
            <w:r>
              <w:rPr>
                <w:rFonts w:hint="eastAsia" w:ascii="宋体" w:hAnsi="宋体" w:cs="宋体"/>
                <w:b w:val="0"/>
                <w:bCs w:val="0"/>
                <w:color w:val="C00000"/>
                <w:sz w:val="15"/>
                <w:szCs w:val="15"/>
                <w:highlight w:val="none"/>
                <w:lang w:val="en-US" w:eastAsia="zh-CN"/>
              </w:rPr>
              <w:t>48</w:t>
            </w:r>
          </w:p>
        </w:tc>
        <w:tc>
          <w:tcPr>
            <w:tcW w:w="405" w:type="dxa"/>
            <w:gridSpan w:val="2"/>
            <w:shd w:val="clear" w:color="auto" w:fill="auto"/>
            <w:vAlign w:val="center"/>
          </w:tcPr>
          <w:p>
            <w:pPr>
              <w:spacing w:line="240" w:lineRule="exact"/>
              <w:jc w:val="center"/>
              <w:rPr>
                <w:rFonts w:hint="eastAsia" w:ascii="宋体" w:hAnsi="宋体" w:cs="宋体"/>
                <w:b w:val="0"/>
                <w:bCs w:val="0"/>
                <w:color w:val="C00000"/>
                <w:sz w:val="15"/>
                <w:szCs w:val="15"/>
                <w:highlight w:val="none"/>
              </w:rPr>
            </w:pPr>
            <w:r>
              <w:rPr>
                <w:rFonts w:hint="eastAsia" w:ascii="宋体" w:hAnsi="宋体" w:cs="宋体"/>
                <w:b w:val="0"/>
                <w:bCs w:val="0"/>
                <w:color w:val="C00000"/>
                <w:sz w:val="15"/>
                <w:szCs w:val="15"/>
                <w:highlight w:val="none"/>
              </w:rPr>
              <w:t>32</w:t>
            </w:r>
          </w:p>
        </w:tc>
        <w:tc>
          <w:tcPr>
            <w:tcW w:w="487" w:type="dxa"/>
            <w:gridSpan w:val="2"/>
            <w:shd w:val="clear" w:color="auto" w:fill="auto"/>
            <w:vAlign w:val="center"/>
          </w:tcPr>
          <w:p>
            <w:pPr>
              <w:spacing w:line="240" w:lineRule="exact"/>
              <w:jc w:val="center"/>
              <w:rPr>
                <w:rFonts w:hint="default" w:ascii="宋体" w:hAnsi="宋体" w:eastAsia="宋体" w:cs="宋体"/>
                <w:b w:val="0"/>
                <w:bCs w:val="0"/>
                <w:color w:val="C00000"/>
                <w:sz w:val="15"/>
                <w:szCs w:val="15"/>
                <w:highlight w:val="none"/>
                <w:lang w:val="en-US" w:eastAsia="zh-CN"/>
              </w:rPr>
            </w:pPr>
            <w:r>
              <w:rPr>
                <w:rFonts w:hint="eastAsia" w:ascii="宋体" w:hAnsi="宋体" w:cs="宋体"/>
                <w:b w:val="0"/>
                <w:bCs w:val="0"/>
                <w:color w:val="C00000"/>
                <w:sz w:val="15"/>
                <w:szCs w:val="15"/>
                <w:highlight w:val="none"/>
                <w:lang w:val="en-US" w:eastAsia="zh-CN"/>
              </w:rPr>
              <w:t>16</w:t>
            </w:r>
          </w:p>
        </w:tc>
        <w:tc>
          <w:tcPr>
            <w:tcW w:w="598" w:type="dxa"/>
            <w:shd w:val="clear" w:color="auto" w:fill="auto"/>
            <w:vAlign w:val="center"/>
          </w:tcPr>
          <w:p>
            <w:pPr>
              <w:spacing w:line="240" w:lineRule="exact"/>
              <w:jc w:val="center"/>
              <w:rPr>
                <w:rFonts w:hint="eastAsia" w:ascii="宋体" w:hAnsi="宋体" w:cs="宋体"/>
                <w:b w:val="0"/>
                <w:bCs w:val="0"/>
                <w:color w:val="C00000"/>
                <w:sz w:val="15"/>
                <w:szCs w:val="15"/>
                <w:highlight w:val="none"/>
              </w:rPr>
            </w:pPr>
            <w:r>
              <w:rPr>
                <w:rFonts w:hint="eastAsia" w:ascii="宋体" w:hAnsi="宋体" w:cs="宋体"/>
                <w:b w:val="0"/>
                <w:bCs w:val="0"/>
                <w:color w:val="C00000"/>
                <w:sz w:val="15"/>
                <w:szCs w:val="15"/>
                <w:highlight w:val="none"/>
              </w:rPr>
              <w:t>开卷考试</w:t>
            </w:r>
          </w:p>
        </w:tc>
        <w:tc>
          <w:tcPr>
            <w:tcW w:w="650" w:type="dxa"/>
            <w:shd w:val="clear" w:color="auto" w:fill="auto"/>
            <w:vAlign w:val="center"/>
          </w:tcPr>
          <w:p>
            <w:pPr>
              <w:spacing w:line="240" w:lineRule="exact"/>
              <w:jc w:val="center"/>
              <w:rPr>
                <w:rFonts w:hint="eastAsia" w:ascii="宋体" w:hAnsi="宋体" w:cs="宋体"/>
                <w:b w:val="0"/>
                <w:bCs w:val="0"/>
                <w:color w:val="C00000"/>
                <w:sz w:val="15"/>
                <w:szCs w:val="15"/>
                <w:highlight w:val="none"/>
              </w:rPr>
            </w:pPr>
          </w:p>
        </w:tc>
        <w:tc>
          <w:tcPr>
            <w:tcW w:w="612" w:type="dxa"/>
            <w:shd w:val="clear" w:color="auto" w:fill="auto"/>
            <w:vAlign w:val="center"/>
          </w:tcPr>
          <w:p>
            <w:pPr>
              <w:spacing w:line="240" w:lineRule="exact"/>
              <w:jc w:val="center"/>
              <w:rPr>
                <w:rFonts w:hint="default" w:ascii="宋体" w:hAnsi="宋体" w:eastAsia="宋体" w:cs="宋体"/>
                <w:b w:val="0"/>
                <w:bCs w:val="0"/>
                <w:color w:val="C00000"/>
                <w:sz w:val="15"/>
                <w:szCs w:val="15"/>
                <w:highlight w:val="none"/>
                <w:lang w:val="en-US" w:eastAsia="zh-CN"/>
              </w:rPr>
            </w:pPr>
            <w:r>
              <w:rPr>
                <w:rFonts w:hint="eastAsia" w:ascii="宋体" w:hAnsi="宋体" w:cs="宋体"/>
                <w:b w:val="0"/>
                <w:bCs w:val="0"/>
                <w:color w:val="C00000"/>
                <w:sz w:val="15"/>
                <w:szCs w:val="15"/>
                <w:highlight w:val="none"/>
              </w:rPr>
              <w:t>2</w:t>
            </w:r>
            <w:r>
              <w:rPr>
                <w:rFonts w:hint="eastAsia" w:ascii="宋体" w:hAnsi="宋体" w:cs="宋体"/>
                <w:b w:val="0"/>
                <w:bCs w:val="0"/>
                <w:color w:val="C00000"/>
                <w:sz w:val="15"/>
                <w:szCs w:val="15"/>
                <w:highlight w:val="none"/>
                <w:lang w:val="en-US" w:eastAsia="zh-CN"/>
              </w:rPr>
              <w:t>+1</w:t>
            </w:r>
          </w:p>
        </w:tc>
        <w:tc>
          <w:tcPr>
            <w:tcW w:w="663" w:type="dxa"/>
            <w:shd w:val="clear" w:color="auto" w:fill="auto"/>
            <w:vAlign w:val="center"/>
          </w:tcPr>
          <w:p>
            <w:pPr>
              <w:spacing w:line="240" w:lineRule="exact"/>
              <w:jc w:val="center"/>
              <w:rPr>
                <w:rFonts w:ascii="宋体" w:hAnsi="宋体" w:cs="宋体"/>
                <w:b w:val="0"/>
                <w:bCs w:val="0"/>
                <w:color w:val="C00000"/>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p>
        </w:tc>
        <w:tc>
          <w:tcPr>
            <w:tcW w:w="612" w:type="dxa"/>
            <w:shd w:val="clear" w:color="auto" w:fill="auto"/>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w:t>
            </w:r>
          </w:p>
        </w:tc>
        <w:tc>
          <w:tcPr>
            <w:tcW w:w="2300" w:type="dxa"/>
            <w:gridSpan w:val="3"/>
            <w:shd w:val="clear" w:color="auto" w:fill="auto"/>
            <w:vAlign w:val="center"/>
          </w:tcPr>
          <w:p>
            <w:pPr>
              <w:widowControl/>
              <w:spacing w:line="240" w:lineRule="exact"/>
              <w:ind w:right="-141" w:rightChars="-67"/>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思想道德</w:t>
            </w:r>
            <w:r>
              <w:rPr>
                <w:rFonts w:hint="eastAsia" w:ascii="宋体" w:hAnsi="宋体" w:cs="宋体"/>
                <w:b w:val="0"/>
                <w:bCs w:val="0"/>
                <w:color w:val="auto"/>
                <w:sz w:val="15"/>
                <w:szCs w:val="15"/>
                <w:highlight w:val="none"/>
                <w:lang w:eastAsia="zh-CN"/>
              </w:rPr>
              <w:t>与法治</w:t>
            </w:r>
            <w:r>
              <w:rPr>
                <w:rFonts w:hint="eastAsia" w:ascii="宋体" w:hAnsi="宋体" w:cs="宋体"/>
                <w:b w:val="0"/>
                <w:bCs w:val="0"/>
                <w:color w:val="auto"/>
                <w:sz w:val="15"/>
                <w:szCs w:val="15"/>
                <w:highlight w:val="none"/>
              </w:rPr>
              <w:t>（一）</w:t>
            </w:r>
          </w:p>
        </w:tc>
        <w:tc>
          <w:tcPr>
            <w:tcW w:w="3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vMerge w:val="restart"/>
            <w:shd w:val="clear" w:color="auto" w:fill="auto"/>
            <w:vAlign w:val="center"/>
          </w:tcPr>
          <w:p>
            <w:pPr>
              <w:spacing w:line="240" w:lineRule="exact"/>
              <w:ind w:right="-141" w:rightChars="-67"/>
              <w:jc w:val="both"/>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w:t>
            </w:r>
          </w:p>
        </w:tc>
        <w:tc>
          <w:tcPr>
            <w:tcW w:w="49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26</w:t>
            </w:r>
          </w:p>
        </w:tc>
        <w:tc>
          <w:tcPr>
            <w:tcW w:w="40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26</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98"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p>
        </w:tc>
        <w:tc>
          <w:tcPr>
            <w:tcW w:w="612" w:type="dxa"/>
            <w:shd w:val="clear" w:color="auto" w:fill="auto"/>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w:t>
            </w:r>
          </w:p>
        </w:tc>
        <w:tc>
          <w:tcPr>
            <w:tcW w:w="2300" w:type="dxa"/>
            <w:gridSpan w:val="3"/>
            <w:shd w:val="clear" w:color="auto" w:fill="auto"/>
            <w:vAlign w:val="center"/>
          </w:tcPr>
          <w:p>
            <w:pPr>
              <w:widowControl/>
              <w:spacing w:line="240" w:lineRule="exact"/>
              <w:ind w:right="-141" w:rightChars="-67"/>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思想道德</w:t>
            </w:r>
            <w:r>
              <w:rPr>
                <w:rFonts w:hint="eastAsia" w:ascii="宋体" w:hAnsi="宋体" w:cs="宋体"/>
                <w:b w:val="0"/>
                <w:bCs w:val="0"/>
                <w:color w:val="auto"/>
                <w:sz w:val="15"/>
                <w:szCs w:val="15"/>
                <w:highlight w:val="none"/>
                <w:lang w:eastAsia="zh-CN"/>
              </w:rPr>
              <w:t>与法治</w:t>
            </w:r>
            <w:r>
              <w:rPr>
                <w:rFonts w:hint="eastAsia" w:ascii="宋体" w:hAnsi="宋体" w:cs="宋体"/>
                <w:b w:val="0"/>
                <w:bCs w:val="0"/>
                <w:color w:val="auto"/>
                <w:sz w:val="15"/>
                <w:szCs w:val="15"/>
                <w:highlight w:val="none"/>
              </w:rPr>
              <w:t>（二）</w:t>
            </w:r>
          </w:p>
        </w:tc>
        <w:tc>
          <w:tcPr>
            <w:tcW w:w="3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vMerge w:val="continue"/>
            <w:shd w:val="clear" w:color="auto" w:fill="auto"/>
            <w:vAlign w:val="center"/>
          </w:tcPr>
          <w:p>
            <w:pPr>
              <w:widowControl/>
              <w:spacing w:line="240" w:lineRule="exact"/>
              <w:ind w:right="-141" w:rightChars="-67"/>
              <w:jc w:val="both"/>
              <w:rPr>
                <w:rFonts w:hint="eastAsia" w:ascii="宋体" w:hAnsi="宋体" w:cs="宋体"/>
                <w:b w:val="0"/>
                <w:bCs w:val="0"/>
                <w:color w:val="auto"/>
                <w:sz w:val="15"/>
                <w:szCs w:val="15"/>
                <w:highlight w:val="none"/>
              </w:rPr>
            </w:pPr>
          </w:p>
        </w:tc>
        <w:tc>
          <w:tcPr>
            <w:tcW w:w="49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22</w:t>
            </w:r>
          </w:p>
        </w:tc>
        <w:tc>
          <w:tcPr>
            <w:tcW w:w="40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22</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98"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p>
        </w:tc>
        <w:tc>
          <w:tcPr>
            <w:tcW w:w="612" w:type="dxa"/>
            <w:shd w:val="clear" w:color="auto" w:fill="auto"/>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5</w:t>
            </w:r>
          </w:p>
        </w:tc>
        <w:tc>
          <w:tcPr>
            <w:tcW w:w="2300" w:type="dxa"/>
            <w:gridSpan w:val="3"/>
            <w:shd w:val="clear" w:color="auto" w:fill="auto"/>
            <w:vAlign w:val="center"/>
          </w:tcPr>
          <w:p>
            <w:pPr>
              <w:widowControl/>
              <w:spacing w:line="240" w:lineRule="exact"/>
              <w:ind w:right="-141" w:rightChars="-67"/>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党史国史</w:t>
            </w:r>
          </w:p>
        </w:tc>
        <w:tc>
          <w:tcPr>
            <w:tcW w:w="3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A</w:t>
            </w:r>
          </w:p>
        </w:tc>
        <w:tc>
          <w:tcPr>
            <w:tcW w:w="328" w:type="dxa"/>
            <w:shd w:val="clear" w:color="auto" w:fill="auto"/>
            <w:vAlign w:val="center"/>
          </w:tcPr>
          <w:p>
            <w:pPr>
              <w:widowControl/>
              <w:spacing w:line="240" w:lineRule="exact"/>
              <w:ind w:right="-141" w:rightChars="-67"/>
              <w:jc w:val="both"/>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1</w:t>
            </w:r>
          </w:p>
        </w:tc>
        <w:tc>
          <w:tcPr>
            <w:tcW w:w="49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16</w:t>
            </w:r>
          </w:p>
        </w:tc>
        <w:tc>
          <w:tcPr>
            <w:tcW w:w="40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10</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6</w:t>
            </w:r>
          </w:p>
        </w:tc>
        <w:tc>
          <w:tcPr>
            <w:tcW w:w="598" w:type="dxa"/>
            <w:shd w:val="clear" w:color="auto" w:fill="auto"/>
            <w:vAlign w:val="center"/>
          </w:tcPr>
          <w:p>
            <w:pPr>
              <w:spacing w:line="240" w:lineRule="exact"/>
              <w:jc w:val="both"/>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考查</w:t>
            </w:r>
          </w:p>
        </w:tc>
        <w:tc>
          <w:tcPr>
            <w:tcW w:w="6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2</w:t>
            </w: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p>
        </w:tc>
        <w:tc>
          <w:tcPr>
            <w:tcW w:w="612" w:type="dxa"/>
            <w:shd w:val="clear" w:color="auto" w:fill="auto"/>
            <w:vAlign w:val="center"/>
          </w:tcPr>
          <w:p>
            <w:pPr>
              <w:widowControl/>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阶段制教学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6</w:t>
            </w:r>
          </w:p>
        </w:tc>
        <w:tc>
          <w:tcPr>
            <w:tcW w:w="2300" w:type="dxa"/>
            <w:gridSpan w:val="3"/>
            <w:shd w:val="clear" w:color="auto" w:fill="auto"/>
            <w:vAlign w:val="center"/>
          </w:tcPr>
          <w:p>
            <w:pPr>
              <w:widowControl/>
              <w:spacing w:line="240" w:lineRule="exact"/>
              <w:ind w:right="-141" w:rightChars="-67"/>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形势与政策*</w:t>
            </w:r>
          </w:p>
        </w:tc>
        <w:tc>
          <w:tcPr>
            <w:tcW w:w="3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shd w:val="clear" w:color="auto" w:fill="auto"/>
            <w:vAlign w:val="center"/>
          </w:tcPr>
          <w:p>
            <w:pPr>
              <w:spacing w:line="240" w:lineRule="exact"/>
              <w:jc w:val="both"/>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w:t>
            </w:r>
          </w:p>
        </w:tc>
        <w:tc>
          <w:tcPr>
            <w:tcW w:w="49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40</w:t>
            </w:r>
          </w:p>
        </w:tc>
        <w:tc>
          <w:tcPr>
            <w:tcW w:w="405" w:type="dxa"/>
            <w:gridSpan w:val="2"/>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40</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0</w:t>
            </w:r>
          </w:p>
        </w:tc>
        <w:tc>
          <w:tcPr>
            <w:tcW w:w="598"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w:t>
            </w:r>
            <w:r>
              <w:rPr>
                <w:rFonts w:hint="eastAsia" w:ascii="宋体" w:hAnsi="宋体" w:cs="宋体"/>
                <w:b w:val="0"/>
                <w:bCs w:val="0"/>
                <w:color w:val="auto"/>
                <w:sz w:val="15"/>
                <w:szCs w:val="15"/>
                <w:highlight w:val="none"/>
                <w:lang w:val="en-US" w:eastAsia="zh-CN"/>
              </w:rPr>
              <w:t>2</w:t>
            </w: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w:t>
            </w:r>
            <w:r>
              <w:rPr>
                <w:rFonts w:hint="eastAsia" w:ascii="宋体" w:hAnsi="宋体" w:cs="宋体"/>
                <w:b w:val="0"/>
                <w:bCs w:val="0"/>
                <w:color w:val="auto"/>
                <w:sz w:val="15"/>
                <w:szCs w:val="15"/>
                <w:highlight w:val="none"/>
                <w:lang w:val="en-US" w:eastAsia="zh-CN"/>
              </w:rPr>
              <w:t>2</w:t>
            </w: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w:t>
            </w:r>
            <w:r>
              <w:rPr>
                <w:rFonts w:hint="eastAsia" w:ascii="宋体" w:hAnsi="宋体" w:cs="宋体"/>
                <w:b w:val="0"/>
                <w:bCs w:val="0"/>
                <w:color w:val="auto"/>
                <w:sz w:val="15"/>
                <w:szCs w:val="15"/>
                <w:highlight w:val="none"/>
                <w:lang w:val="en-US" w:eastAsia="zh-CN"/>
              </w:rPr>
              <w:t>2</w:t>
            </w: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w:t>
            </w:r>
            <w:r>
              <w:rPr>
                <w:rFonts w:hint="eastAsia" w:ascii="宋体" w:hAnsi="宋体" w:cs="宋体"/>
                <w:b w:val="0"/>
                <w:bCs w:val="0"/>
                <w:color w:val="auto"/>
                <w:sz w:val="15"/>
                <w:szCs w:val="15"/>
                <w:highlight w:val="none"/>
                <w:lang w:val="en-US" w:eastAsia="zh-CN"/>
              </w:rPr>
              <w:t>2</w:t>
            </w:r>
          </w:p>
        </w:tc>
        <w:tc>
          <w:tcPr>
            <w:tcW w:w="638" w:type="dxa"/>
            <w:shd w:val="clear" w:color="auto" w:fill="auto"/>
            <w:vAlign w:val="center"/>
          </w:tcPr>
          <w:p>
            <w:pPr>
              <w:spacing w:line="240" w:lineRule="exact"/>
              <w:jc w:val="center"/>
              <w:rPr>
                <w:rFonts w:ascii="宋体" w:hAnsi="宋体" w:cs="宋体"/>
                <w:b w:val="0"/>
                <w:bCs w:val="0"/>
                <w:color w:val="auto"/>
                <w:spacing w:val="-24"/>
                <w:sz w:val="15"/>
                <w:szCs w:val="15"/>
                <w:highlight w:val="none"/>
              </w:rPr>
            </w:pPr>
            <w:r>
              <w:rPr>
                <w:rFonts w:hint="eastAsia" w:ascii="宋体" w:hAnsi="宋体" w:cs="宋体"/>
                <w:b w:val="0"/>
                <w:bCs w:val="0"/>
                <w:color w:val="auto"/>
                <w:sz w:val="15"/>
                <w:szCs w:val="15"/>
                <w:highlight w:val="none"/>
              </w:rPr>
              <w:t>4*</w:t>
            </w:r>
            <w:r>
              <w:rPr>
                <w:rFonts w:hint="eastAsia" w:ascii="宋体" w:hAnsi="宋体" w:cs="宋体"/>
                <w:b w:val="0"/>
                <w:bCs w:val="0"/>
                <w:color w:val="auto"/>
                <w:sz w:val="15"/>
                <w:szCs w:val="15"/>
                <w:highlight w:val="none"/>
                <w:lang w:val="en-US" w:eastAsia="zh-CN"/>
              </w:rPr>
              <w:t>2</w:t>
            </w:r>
          </w:p>
        </w:tc>
        <w:tc>
          <w:tcPr>
            <w:tcW w:w="612" w:type="dxa"/>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7</w:t>
            </w:r>
          </w:p>
        </w:tc>
        <w:tc>
          <w:tcPr>
            <w:tcW w:w="2300" w:type="dxa"/>
            <w:gridSpan w:val="3"/>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大学生心理健康教育*</w:t>
            </w:r>
          </w:p>
        </w:tc>
        <w:tc>
          <w:tcPr>
            <w:tcW w:w="3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shd w:val="clear" w:color="auto" w:fill="auto"/>
            <w:vAlign w:val="center"/>
          </w:tcPr>
          <w:p>
            <w:pPr>
              <w:spacing w:line="240" w:lineRule="exact"/>
              <w:jc w:val="both"/>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9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0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22</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10</w:t>
            </w:r>
          </w:p>
        </w:tc>
        <w:tc>
          <w:tcPr>
            <w:tcW w:w="59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lang w:val="en-US" w:eastAsia="zh-CN"/>
              </w:rPr>
              <w:t>4</w:t>
            </w:r>
            <w:r>
              <w:rPr>
                <w:rFonts w:hint="eastAsia" w:ascii="宋体" w:hAnsi="宋体" w:cs="宋体"/>
                <w:b/>
                <w:bCs/>
                <w:color w:val="auto"/>
                <w:sz w:val="15"/>
                <w:szCs w:val="15"/>
                <w:highlight w:val="none"/>
              </w:rPr>
              <w:t>*4</w:t>
            </w:r>
          </w:p>
        </w:tc>
        <w:tc>
          <w:tcPr>
            <w:tcW w:w="612" w:type="dxa"/>
            <w:shd w:val="clear" w:color="auto" w:fill="auto"/>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lang w:val="en-US" w:eastAsia="zh-CN"/>
              </w:rPr>
              <w:t>4</w:t>
            </w:r>
            <w:r>
              <w:rPr>
                <w:rFonts w:hint="eastAsia" w:ascii="宋体" w:hAnsi="宋体" w:cs="宋体"/>
                <w:b/>
                <w:bCs/>
                <w:color w:val="auto"/>
                <w:sz w:val="15"/>
                <w:szCs w:val="15"/>
                <w:highlight w:val="none"/>
              </w:rPr>
              <w:t>*4</w:t>
            </w: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38"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12" w:type="dxa"/>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8</w:t>
            </w:r>
          </w:p>
        </w:tc>
        <w:tc>
          <w:tcPr>
            <w:tcW w:w="2300" w:type="dxa"/>
            <w:gridSpan w:val="3"/>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大学生职业发展与就业指导*</w:t>
            </w:r>
          </w:p>
        </w:tc>
        <w:tc>
          <w:tcPr>
            <w:tcW w:w="3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shd w:val="clear" w:color="auto" w:fill="auto"/>
            <w:vAlign w:val="center"/>
          </w:tcPr>
          <w:p>
            <w:pPr>
              <w:spacing w:line="240" w:lineRule="exact"/>
              <w:jc w:val="both"/>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9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40</w:t>
            </w:r>
          </w:p>
        </w:tc>
        <w:tc>
          <w:tcPr>
            <w:tcW w:w="40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30</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10</w:t>
            </w:r>
          </w:p>
        </w:tc>
        <w:tc>
          <w:tcPr>
            <w:tcW w:w="59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开卷考试</w:t>
            </w:r>
          </w:p>
        </w:tc>
        <w:tc>
          <w:tcPr>
            <w:tcW w:w="6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rPr>
              <w:t>*4</w:t>
            </w: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4*4</w:t>
            </w:r>
          </w:p>
        </w:tc>
        <w:tc>
          <w:tcPr>
            <w:tcW w:w="63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bCs/>
                <w:color w:val="auto"/>
                <w:sz w:val="15"/>
                <w:szCs w:val="15"/>
                <w:highlight w:val="none"/>
                <w:lang w:val="en-US" w:eastAsia="zh-CN"/>
              </w:rPr>
              <w:t>2</w:t>
            </w:r>
            <w:r>
              <w:rPr>
                <w:rFonts w:hint="eastAsia" w:ascii="宋体" w:hAnsi="宋体" w:cs="宋体"/>
                <w:b/>
                <w:bCs/>
                <w:color w:val="auto"/>
                <w:sz w:val="15"/>
                <w:szCs w:val="15"/>
                <w:highlight w:val="none"/>
              </w:rPr>
              <w:t>*4</w:t>
            </w:r>
          </w:p>
        </w:tc>
        <w:tc>
          <w:tcPr>
            <w:tcW w:w="612" w:type="dxa"/>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shd w:val="clear" w:color="auto" w:fill="auto"/>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9</w:t>
            </w:r>
          </w:p>
        </w:tc>
        <w:tc>
          <w:tcPr>
            <w:tcW w:w="2300" w:type="dxa"/>
            <w:gridSpan w:val="3"/>
            <w:shd w:val="clear" w:color="auto" w:fill="auto"/>
            <w:vAlign w:val="center"/>
          </w:tcPr>
          <w:p>
            <w:pPr>
              <w:widowControl/>
              <w:spacing w:line="240" w:lineRule="exact"/>
              <w:ind w:right="-141" w:rightChars="-67" w:firstLine="600" w:firstLineChars="400"/>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安全教育</w:t>
            </w:r>
          </w:p>
        </w:tc>
        <w:tc>
          <w:tcPr>
            <w:tcW w:w="3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328" w:type="dxa"/>
            <w:shd w:val="clear" w:color="auto" w:fill="auto"/>
            <w:vAlign w:val="center"/>
          </w:tcPr>
          <w:p>
            <w:pPr>
              <w:spacing w:line="240" w:lineRule="exact"/>
              <w:jc w:val="both"/>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w:t>
            </w:r>
          </w:p>
        </w:tc>
        <w:tc>
          <w:tcPr>
            <w:tcW w:w="49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24</w:t>
            </w:r>
          </w:p>
        </w:tc>
        <w:tc>
          <w:tcPr>
            <w:tcW w:w="405"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24</w:t>
            </w:r>
          </w:p>
        </w:tc>
        <w:tc>
          <w:tcPr>
            <w:tcW w:w="487" w:type="dxa"/>
            <w:gridSpan w:val="2"/>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0</w:t>
            </w:r>
          </w:p>
        </w:tc>
        <w:tc>
          <w:tcPr>
            <w:tcW w:w="59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技能测试</w:t>
            </w:r>
          </w:p>
        </w:tc>
        <w:tc>
          <w:tcPr>
            <w:tcW w:w="650"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612"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663"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587"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638" w:type="dxa"/>
            <w:shd w:val="clear" w:color="auto" w:fill="auto"/>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612" w:type="dxa"/>
            <w:shd w:val="clear" w:color="auto" w:fill="auto"/>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10</w:t>
            </w:r>
          </w:p>
        </w:tc>
        <w:tc>
          <w:tcPr>
            <w:tcW w:w="2300" w:type="dxa"/>
            <w:gridSpan w:val="3"/>
            <w:vAlign w:val="center"/>
          </w:tcPr>
          <w:p>
            <w:pPr>
              <w:widowControl/>
              <w:spacing w:line="240" w:lineRule="exact"/>
              <w:ind w:right="-141" w:rightChars="-67" w:firstLine="750" w:firstLineChars="500"/>
              <w:rPr>
                <w:rFonts w:ascii="宋体" w:hAnsi="宋体" w:cs="宋体"/>
                <w:color w:val="auto"/>
                <w:sz w:val="15"/>
                <w:szCs w:val="15"/>
                <w:highlight w:val="none"/>
              </w:rPr>
            </w:pPr>
            <w:r>
              <w:rPr>
                <w:rFonts w:hint="eastAsia" w:ascii="宋体" w:hAnsi="宋体" w:cs="宋体"/>
                <w:color w:val="auto"/>
                <w:sz w:val="15"/>
                <w:szCs w:val="15"/>
                <w:highlight w:val="none"/>
              </w:rPr>
              <w:t>军训*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328" w:type="dxa"/>
            <w:vAlign w:val="center"/>
          </w:tcPr>
          <w:p>
            <w:pPr>
              <w:spacing w:line="240" w:lineRule="exact"/>
              <w:jc w:val="both"/>
              <w:rPr>
                <w:rFonts w:hint="eastAsia" w:ascii="宋体" w:hAnsi="宋体" w:eastAsia="宋体" w:cs="宋体"/>
                <w:color w:val="auto"/>
                <w:sz w:val="15"/>
                <w:szCs w:val="15"/>
                <w:highlight w:val="none"/>
                <w:lang w:eastAsia="zh-CN"/>
              </w:rPr>
            </w:pPr>
            <w:r>
              <w:rPr>
                <w:rFonts w:hint="eastAsia" w:ascii="宋体" w:hAnsi="宋体" w:cs="宋体"/>
                <w:b/>
                <w:bCs/>
                <w:color w:val="auto"/>
                <w:sz w:val="15"/>
                <w:szCs w:val="15"/>
                <w:highlight w:val="none"/>
                <w:lang w:val="en-US" w:eastAsia="zh-CN"/>
              </w:rPr>
              <w:t>4</w:t>
            </w:r>
          </w:p>
        </w:tc>
        <w:tc>
          <w:tcPr>
            <w:tcW w:w="495"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b/>
                <w:bCs/>
                <w:color w:val="auto"/>
                <w:sz w:val="15"/>
                <w:szCs w:val="15"/>
                <w:highlight w:val="none"/>
                <w:lang w:val="en-US" w:eastAsia="zh-CN"/>
              </w:rPr>
              <w:t>148</w:t>
            </w:r>
          </w:p>
        </w:tc>
        <w:tc>
          <w:tcPr>
            <w:tcW w:w="405"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36</w:t>
            </w:r>
          </w:p>
        </w:tc>
        <w:tc>
          <w:tcPr>
            <w:tcW w:w="487"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b/>
                <w:bCs/>
                <w:color w:val="auto"/>
                <w:sz w:val="15"/>
                <w:szCs w:val="15"/>
                <w:highlight w:val="none"/>
                <w:lang w:val="en-US" w:eastAsia="zh-CN"/>
              </w:rPr>
              <w:t>112</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2周</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default" w:ascii="宋体" w:hAnsi="宋体" w:cs="宋体"/>
                <w:color w:val="auto"/>
                <w:sz w:val="15"/>
                <w:szCs w:val="15"/>
                <w:highlight w:val="none"/>
                <w:lang w:val="en-US" w:eastAsia="zh-CN"/>
              </w:rPr>
            </w:pPr>
            <w:r>
              <w:rPr>
                <w:rFonts w:hint="eastAsia" w:ascii="宋体" w:hAnsi="宋体" w:cs="宋体"/>
                <w:color w:val="auto"/>
                <w:sz w:val="15"/>
                <w:szCs w:val="15"/>
                <w:highlight w:val="none"/>
                <w:lang w:val="en-US" w:eastAsia="zh-CN"/>
              </w:rPr>
              <w:t>11</w:t>
            </w:r>
          </w:p>
        </w:tc>
        <w:tc>
          <w:tcPr>
            <w:tcW w:w="2300" w:type="dxa"/>
            <w:gridSpan w:val="3"/>
            <w:vAlign w:val="center"/>
          </w:tcPr>
          <w:p>
            <w:pPr>
              <w:widowControl/>
              <w:spacing w:line="240" w:lineRule="exact"/>
              <w:ind w:right="-141" w:rightChars="-67" w:firstLine="750" w:firstLineChars="500"/>
              <w:rPr>
                <w:rFonts w:hint="eastAsia" w:ascii="宋体" w:hAnsi="宋体" w:eastAsia="宋体" w:cs="宋体"/>
                <w:color w:val="auto"/>
                <w:sz w:val="15"/>
                <w:szCs w:val="15"/>
                <w:highlight w:val="cyan"/>
                <w:lang w:eastAsia="zh-CN"/>
              </w:rPr>
            </w:pPr>
            <w:r>
              <w:rPr>
                <w:rFonts w:hint="eastAsia" w:ascii="宋体" w:hAnsi="宋体" w:cs="宋体"/>
                <w:color w:val="auto"/>
                <w:sz w:val="15"/>
                <w:szCs w:val="15"/>
                <w:highlight w:val="cyan"/>
                <w:lang w:eastAsia="zh-CN"/>
              </w:rPr>
              <w:t>劳动教育</w:t>
            </w:r>
            <w:r>
              <w:rPr>
                <w:rFonts w:hint="eastAsia" w:ascii="宋体" w:hAnsi="宋体" w:cs="宋体"/>
                <w:color w:val="auto"/>
                <w:sz w:val="15"/>
                <w:szCs w:val="15"/>
                <w:highlight w:val="none"/>
              </w:rPr>
              <w:t>*</w:t>
            </w:r>
          </w:p>
        </w:tc>
        <w:tc>
          <w:tcPr>
            <w:tcW w:w="350" w:type="dxa"/>
            <w:vAlign w:val="center"/>
          </w:tcPr>
          <w:p>
            <w:pPr>
              <w:spacing w:line="240" w:lineRule="exact"/>
              <w:jc w:val="center"/>
              <w:rPr>
                <w:rFonts w:hint="eastAsia" w:ascii="宋体" w:hAnsi="宋体" w:eastAsia="宋体" w:cs="宋体"/>
                <w:color w:val="auto"/>
                <w:sz w:val="15"/>
                <w:szCs w:val="15"/>
                <w:highlight w:val="cyan"/>
                <w:lang w:val="en-US" w:eastAsia="zh-CN"/>
              </w:rPr>
            </w:pPr>
            <w:r>
              <w:rPr>
                <w:rFonts w:hint="eastAsia" w:ascii="宋体" w:hAnsi="宋体" w:cs="宋体"/>
                <w:color w:val="auto"/>
                <w:sz w:val="15"/>
                <w:szCs w:val="15"/>
                <w:highlight w:val="cyan"/>
                <w:lang w:val="en-US" w:eastAsia="zh-CN"/>
              </w:rPr>
              <w:t>C</w:t>
            </w:r>
          </w:p>
        </w:tc>
        <w:tc>
          <w:tcPr>
            <w:tcW w:w="328" w:type="dxa"/>
            <w:vAlign w:val="center"/>
          </w:tcPr>
          <w:p>
            <w:pPr>
              <w:spacing w:line="240" w:lineRule="exact"/>
              <w:jc w:val="both"/>
              <w:rPr>
                <w:rFonts w:hint="default" w:ascii="宋体" w:hAnsi="宋体" w:cs="宋体"/>
                <w:b w:val="0"/>
                <w:bCs w:val="0"/>
                <w:color w:val="auto"/>
                <w:sz w:val="15"/>
                <w:szCs w:val="15"/>
                <w:highlight w:val="cyan"/>
                <w:lang w:val="en-US" w:eastAsia="zh-CN"/>
              </w:rPr>
            </w:pPr>
            <w:r>
              <w:rPr>
                <w:rFonts w:hint="eastAsia" w:ascii="宋体" w:hAnsi="宋体" w:cs="宋体"/>
                <w:b w:val="0"/>
                <w:bCs w:val="0"/>
                <w:color w:val="auto"/>
                <w:sz w:val="15"/>
                <w:szCs w:val="15"/>
                <w:highlight w:val="cyan"/>
                <w:lang w:val="en-US" w:eastAsia="zh-CN"/>
              </w:rPr>
              <w:t>1</w:t>
            </w:r>
          </w:p>
        </w:tc>
        <w:tc>
          <w:tcPr>
            <w:tcW w:w="495" w:type="dxa"/>
            <w:gridSpan w:val="2"/>
            <w:vAlign w:val="center"/>
          </w:tcPr>
          <w:p>
            <w:pPr>
              <w:spacing w:line="240" w:lineRule="exact"/>
              <w:jc w:val="center"/>
              <w:rPr>
                <w:rFonts w:hint="default" w:ascii="宋体" w:hAnsi="宋体" w:cs="宋体"/>
                <w:b w:val="0"/>
                <w:bCs w:val="0"/>
                <w:color w:val="auto"/>
                <w:sz w:val="15"/>
                <w:szCs w:val="15"/>
                <w:highlight w:val="cyan"/>
                <w:lang w:val="en-US" w:eastAsia="zh-CN"/>
              </w:rPr>
            </w:pPr>
            <w:r>
              <w:rPr>
                <w:rFonts w:hint="eastAsia" w:ascii="宋体" w:hAnsi="宋体" w:cs="宋体"/>
                <w:b w:val="0"/>
                <w:bCs w:val="0"/>
                <w:color w:val="auto"/>
                <w:sz w:val="15"/>
                <w:szCs w:val="15"/>
                <w:highlight w:val="cyan"/>
                <w:lang w:val="en-US" w:eastAsia="zh-CN"/>
              </w:rPr>
              <w:t>16</w:t>
            </w:r>
          </w:p>
        </w:tc>
        <w:tc>
          <w:tcPr>
            <w:tcW w:w="405" w:type="dxa"/>
            <w:gridSpan w:val="2"/>
            <w:vAlign w:val="center"/>
          </w:tcPr>
          <w:p>
            <w:pPr>
              <w:spacing w:line="240" w:lineRule="exact"/>
              <w:jc w:val="center"/>
              <w:rPr>
                <w:rFonts w:hint="eastAsia" w:ascii="宋体" w:hAnsi="宋体" w:cs="宋体"/>
                <w:b w:val="0"/>
                <w:bCs w:val="0"/>
                <w:color w:val="auto"/>
                <w:sz w:val="15"/>
                <w:szCs w:val="15"/>
                <w:highlight w:val="cyan"/>
              </w:rPr>
            </w:pPr>
          </w:p>
        </w:tc>
        <w:tc>
          <w:tcPr>
            <w:tcW w:w="487" w:type="dxa"/>
            <w:gridSpan w:val="2"/>
            <w:vAlign w:val="center"/>
          </w:tcPr>
          <w:p>
            <w:pPr>
              <w:spacing w:line="240" w:lineRule="exact"/>
              <w:jc w:val="center"/>
              <w:rPr>
                <w:rFonts w:hint="default" w:ascii="宋体" w:hAnsi="宋体" w:cs="宋体"/>
                <w:b w:val="0"/>
                <w:bCs w:val="0"/>
                <w:color w:val="auto"/>
                <w:sz w:val="15"/>
                <w:szCs w:val="15"/>
                <w:highlight w:val="cyan"/>
                <w:lang w:val="en-US" w:eastAsia="zh-CN"/>
              </w:rPr>
            </w:pPr>
            <w:r>
              <w:rPr>
                <w:rFonts w:hint="eastAsia" w:ascii="宋体" w:hAnsi="宋体" w:cs="宋体"/>
                <w:b w:val="0"/>
                <w:bCs w:val="0"/>
                <w:color w:val="auto"/>
                <w:sz w:val="15"/>
                <w:szCs w:val="15"/>
                <w:highlight w:val="cyan"/>
                <w:lang w:val="en-US" w:eastAsia="zh-CN"/>
              </w:rPr>
              <w:t>16</w:t>
            </w:r>
          </w:p>
        </w:tc>
        <w:tc>
          <w:tcPr>
            <w:tcW w:w="598" w:type="dxa"/>
            <w:vAlign w:val="center"/>
          </w:tcPr>
          <w:p>
            <w:pPr>
              <w:spacing w:line="240" w:lineRule="exact"/>
              <w:jc w:val="center"/>
              <w:rPr>
                <w:rFonts w:hint="eastAsia" w:ascii="宋体" w:hAnsi="宋体" w:cs="宋体"/>
                <w:color w:val="auto"/>
                <w:sz w:val="15"/>
                <w:szCs w:val="15"/>
                <w:highlight w:val="cyan"/>
              </w:rPr>
            </w:pPr>
          </w:p>
        </w:tc>
        <w:tc>
          <w:tcPr>
            <w:tcW w:w="650" w:type="dxa"/>
            <w:vAlign w:val="center"/>
          </w:tcPr>
          <w:p>
            <w:pPr>
              <w:spacing w:line="240" w:lineRule="exact"/>
              <w:jc w:val="center"/>
              <w:rPr>
                <w:rFonts w:hint="eastAsia" w:ascii="宋体" w:hAnsi="宋体" w:cs="宋体"/>
                <w:color w:val="auto"/>
                <w:sz w:val="15"/>
                <w:szCs w:val="15"/>
                <w:highlight w:val="cyan"/>
              </w:rPr>
            </w:pPr>
            <w:r>
              <w:rPr>
                <w:rFonts w:hint="eastAsia" w:ascii="宋体" w:hAnsi="宋体" w:cs="宋体"/>
                <w:b w:val="0"/>
                <w:bCs w:val="0"/>
                <w:color w:val="auto"/>
                <w:sz w:val="15"/>
                <w:szCs w:val="15"/>
                <w:highlight w:val="cyan"/>
              </w:rPr>
              <w:t>1*4</w:t>
            </w:r>
          </w:p>
        </w:tc>
        <w:tc>
          <w:tcPr>
            <w:tcW w:w="612" w:type="dxa"/>
            <w:vAlign w:val="center"/>
          </w:tcPr>
          <w:p>
            <w:pPr>
              <w:spacing w:line="240" w:lineRule="exact"/>
              <w:jc w:val="center"/>
              <w:rPr>
                <w:rFonts w:ascii="宋体" w:hAnsi="宋体" w:cs="宋体"/>
                <w:color w:val="auto"/>
                <w:sz w:val="15"/>
                <w:szCs w:val="15"/>
                <w:highlight w:val="cyan"/>
              </w:rPr>
            </w:pPr>
            <w:r>
              <w:rPr>
                <w:rFonts w:hint="eastAsia" w:ascii="宋体" w:hAnsi="宋体" w:cs="宋体"/>
                <w:b w:val="0"/>
                <w:bCs w:val="0"/>
                <w:color w:val="auto"/>
                <w:sz w:val="15"/>
                <w:szCs w:val="15"/>
                <w:highlight w:val="cyan"/>
              </w:rPr>
              <w:t>1*4</w:t>
            </w:r>
          </w:p>
        </w:tc>
        <w:tc>
          <w:tcPr>
            <w:tcW w:w="663" w:type="dxa"/>
            <w:vAlign w:val="center"/>
          </w:tcPr>
          <w:p>
            <w:pPr>
              <w:spacing w:line="240" w:lineRule="exact"/>
              <w:jc w:val="center"/>
              <w:rPr>
                <w:rFonts w:ascii="宋体" w:hAnsi="宋体" w:cs="宋体"/>
                <w:color w:val="auto"/>
                <w:sz w:val="15"/>
                <w:szCs w:val="15"/>
                <w:highlight w:val="cyan"/>
              </w:rPr>
            </w:pPr>
            <w:r>
              <w:rPr>
                <w:rFonts w:hint="eastAsia" w:ascii="宋体" w:hAnsi="宋体" w:cs="宋体"/>
                <w:b w:val="0"/>
                <w:bCs w:val="0"/>
                <w:color w:val="auto"/>
                <w:sz w:val="15"/>
                <w:szCs w:val="15"/>
                <w:highlight w:val="cyan"/>
              </w:rPr>
              <w:t>1*4</w:t>
            </w:r>
          </w:p>
        </w:tc>
        <w:tc>
          <w:tcPr>
            <w:tcW w:w="587" w:type="dxa"/>
            <w:vAlign w:val="center"/>
          </w:tcPr>
          <w:p>
            <w:pPr>
              <w:spacing w:line="240" w:lineRule="exact"/>
              <w:jc w:val="center"/>
              <w:rPr>
                <w:rFonts w:ascii="宋体" w:hAnsi="宋体" w:cs="宋体"/>
                <w:color w:val="auto"/>
                <w:sz w:val="15"/>
                <w:szCs w:val="15"/>
                <w:highlight w:val="cyan"/>
              </w:rPr>
            </w:pPr>
            <w:r>
              <w:rPr>
                <w:rFonts w:hint="eastAsia" w:ascii="宋体" w:hAnsi="宋体" w:cs="宋体"/>
                <w:b w:val="0"/>
                <w:bCs w:val="0"/>
                <w:color w:val="auto"/>
                <w:sz w:val="15"/>
                <w:szCs w:val="15"/>
                <w:highlight w:val="cyan"/>
              </w:rPr>
              <w:t>1*4</w:t>
            </w:r>
          </w:p>
        </w:tc>
        <w:tc>
          <w:tcPr>
            <w:tcW w:w="638"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default"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12</w:t>
            </w:r>
          </w:p>
        </w:tc>
        <w:tc>
          <w:tcPr>
            <w:tcW w:w="2300" w:type="dxa"/>
            <w:gridSpan w:val="3"/>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体育（一）（部分专业不设）</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b w:val="0"/>
                <w:bCs w:val="0"/>
                <w:color w:val="auto"/>
                <w:sz w:val="15"/>
                <w:szCs w:val="15"/>
                <w:highlight w:val="none"/>
              </w:rPr>
              <w:t>A</w:t>
            </w:r>
          </w:p>
        </w:tc>
        <w:tc>
          <w:tcPr>
            <w:tcW w:w="328" w:type="dxa"/>
            <w:vAlign w:val="center"/>
          </w:tcPr>
          <w:p>
            <w:pPr>
              <w:widowControl/>
              <w:spacing w:line="240" w:lineRule="exact"/>
              <w:ind w:right="-141" w:rightChars="-67"/>
              <w:jc w:val="both"/>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1</w:t>
            </w:r>
          </w:p>
        </w:tc>
        <w:tc>
          <w:tcPr>
            <w:tcW w:w="49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26</w:t>
            </w:r>
          </w:p>
        </w:tc>
        <w:tc>
          <w:tcPr>
            <w:tcW w:w="40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8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24</w:t>
            </w: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技能测试</w:t>
            </w:r>
          </w:p>
        </w:tc>
        <w:tc>
          <w:tcPr>
            <w:tcW w:w="6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13</w:t>
            </w:r>
          </w:p>
        </w:tc>
        <w:tc>
          <w:tcPr>
            <w:tcW w:w="2300" w:type="dxa"/>
            <w:gridSpan w:val="3"/>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体育（二）（部分专业不设）</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b w:val="0"/>
                <w:bCs w:val="0"/>
                <w:color w:val="auto"/>
                <w:sz w:val="15"/>
                <w:szCs w:val="15"/>
                <w:highlight w:val="none"/>
              </w:rPr>
              <w:t>A</w:t>
            </w:r>
          </w:p>
        </w:tc>
        <w:tc>
          <w:tcPr>
            <w:tcW w:w="328" w:type="dxa"/>
            <w:vAlign w:val="center"/>
          </w:tcPr>
          <w:p>
            <w:pPr>
              <w:widowControl/>
              <w:spacing w:line="240" w:lineRule="exact"/>
              <w:ind w:right="-141" w:rightChars="-67"/>
              <w:jc w:val="both"/>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1</w:t>
            </w:r>
          </w:p>
        </w:tc>
        <w:tc>
          <w:tcPr>
            <w:tcW w:w="49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0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8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30</w:t>
            </w: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技能测试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14</w:t>
            </w:r>
          </w:p>
        </w:tc>
        <w:tc>
          <w:tcPr>
            <w:tcW w:w="2300" w:type="dxa"/>
            <w:gridSpan w:val="3"/>
            <w:vAlign w:val="center"/>
          </w:tcPr>
          <w:p>
            <w:pPr>
              <w:widowControl/>
              <w:spacing w:line="240" w:lineRule="exact"/>
              <w:ind w:right="-141" w:rightChars="-67"/>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体育（三）（部分专业不设）</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color w:val="auto"/>
                <w:sz w:val="15"/>
                <w:szCs w:val="15"/>
                <w:highlight w:val="none"/>
              </w:rPr>
              <w:t>A</w:t>
            </w:r>
          </w:p>
        </w:tc>
        <w:tc>
          <w:tcPr>
            <w:tcW w:w="328" w:type="dxa"/>
            <w:vAlign w:val="center"/>
          </w:tcPr>
          <w:p>
            <w:pPr>
              <w:widowControl/>
              <w:spacing w:line="240" w:lineRule="exact"/>
              <w:ind w:right="-141" w:rightChars="-67"/>
              <w:jc w:val="both"/>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0.5</w:t>
            </w:r>
          </w:p>
        </w:tc>
        <w:tc>
          <w:tcPr>
            <w:tcW w:w="49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16</w:t>
            </w:r>
          </w:p>
        </w:tc>
        <w:tc>
          <w:tcPr>
            <w:tcW w:w="405"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8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技能测试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2*8</w:t>
            </w: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9"/>
            <w:vAlign w:val="center"/>
          </w:tcPr>
          <w:p>
            <w:pPr>
              <w:widowControl/>
              <w:numPr>
                <w:ilvl w:val="0"/>
                <w:numId w:val="0"/>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rPr>
              <w:t>备注：1.带“*”号课程排课不计入周学时。就业指导含始业教育、就业指导、毕业教育等内容。</w:t>
            </w:r>
          </w:p>
          <w:p>
            <w:pPr>
              <w:widowControl/>
              <w:numPr>
                <w:ilvl w:val="-1"/>
                <w:numId w:val="0"/>
              </w:numPr>
              <w:spacing w:line="240" w:lineRule="exact"/>
              <w:ind w:firstLine="450" w:firstLineChars="300"/>
              <w:jc w:val="left"/>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2.</w:t>
            </w:r>
            <w:r>
              <w:rPr>
                <w:rFonts w:hint="eastAsia" w:ascii="宋体" w:hAnsi="宋体" w:cs="宋体"/>
                <w:b w:val="0"/>
                <w:bCs w:val="0"/>
                <w:color w:val="auto"/>
                <w:sz w:val="15"/>
                <w:szCs w:val="15"/>
                <w:highlight w:val="none"/>
              </w:rPr>
              <w:t>综合素质必修课须修满</w:t>
            </w:r>
            <w:r>
              <w:rPr>
                <w:rFonts w:hint="eastAsia" w:ascii="宋体" w:hAnsi="宋体" w:cs="宋体"/>
                <w:b/>
                <w:bCs/>
                <w:color w:val="auto"/>
                <w:sz w:val="15"/>
                <w:szCs w:val="15"/>
                <w:highlight w:val="cyan"/>
                <w:lang w:val="en-US" w:eastAsia="zh-CN"/>
              </w:rPr>
              <w:t>22.5</w:t>
            </w:r>
            <w:r>
              <w:rPr>
                <w:rFonts w:hint="eastAsia" w:ascii="宋体" w:hAnsi="宋体" w:cs="宋体"/>
                <w:b w:val="0"/>
                <w:bCs w:val="0"/>
                <w:color w:val="auto"/>
                <w:sz w:val="15"/>
                <w:szCs w:val="15"/>
                <w:highlight w:val="none"/>
              </w:rPr>
              <w:t>学分，不设体育的专业为</w:t>
            </w:r>
            <w:r>
              <w:rPr>
                <w:rFonts w:hint="eastAsia" w:ascii="宋体" w:hAnsi="宋体" w:cs="宋体"/>
                <w:b/>
                <w:bCs/>
                <w:color w:val="auto"/>
                <w:sz w:val="15"/>
                <w:szCs w:val="15"/>
                <w:highlight w:val="cyan"/>
                <w:lang w:val="en-US" w:eastAsia="zh-CN"/>
              </w:rPr>
              <w:t>20</w:t>
            </w:r>
            <w:r>
              <w:rPr>
                <w:rFonts w:hint="eastAsia" w:ascii="宋体" w:hAnsi="宋体" w:cs="宋体"/>
                <w:b w:val="0"/>
                <w:bCs w:val="0"/>
                <w:color w:val="auto"/>
                <w:sz w:val="15"/>
                <w:szCs w:val="15"/>
                <w:highlight w:val="none"/>
              </w:rPr>
              <w:t>学分</w:t>
            </w:r>
            <w:r>
              <w:rPr>
                <w:rFonts w:hint="eastAsia" w:ascii="宋体" w:hAnsi="宋体" w:cs="宋体"/>
                <w:b w:val="0"/>
                <w:bCs w:val="0"/>
                <w:color w:val="auto"/>
                <w:sz w:val="15"/>
                <w:szCs w:val="15"/>
                <w:highlight w:val="none"/>
                <w:lang w:eastAsia="zh-CN"/>
              </w:rPr>
              <w:t>。</w:t>
            </w:r>
          </w:p>
          <w:p>
            <w:pPr>
              <w:widowControl/>
              <w:numPr>
                <w:ilvl w:val="0"/>
                <w:numId w:val="0"/>
              </w:numPr>
              <w:snapToGrid w:val="0"/>
              <w:spacing w:line="240" w:lineRule="exact"/>
              <w:ind w:left="420" w:leftChars="200" w:right="420" w:rightChars="200" w:firstLine="0" w:firstLineChars="0"/>
              <w:jc w:val="left"/>
              <w:rPr>
                <w:rFonts w:ascii="宋体" w:hAnsi="宋体" w:cs="宋体"/>
                <w:color w:val="auto"/>
                <w:sz w:val="15"/>
                <w:szCs w:val="15"/>
                <w:highlight w:val="yellow"/>
              </w:rPr>
            </w:pPr>
            <w:r>
              <w:rPr>
                <w:rFonts w:hint="eastAsia" w:ascii="宋体" w:hAnsi="宋体" w:cs="宋体"/>
                <w:b w:val="0"/>
                <w:bCs w:val="0"/>
                <w:color w:val="auto"/>
                <w:sz w:val="15"/>
                <w:szCs w:val="15"/>
                <w:highlight w:val="none"/>
                <w:lang w:val="en-US" w:eastAsia="zh-CN"/>
              </w:rPr>
              <w:t>3.</w:t>
            </w:r>
            <w:r>
              <w:rPr>
                <w:rFonts w:hint="eastAsia" w:ascii="宋体" w:hAnsi="宋体" w:cs="宋体"/>
                <w:color w:val="FF0000"/>
                <w:sz w:val="15"/>
                <w:szCs w:val="15"/>
                <w:highlight w:val="yellow"/>
              </w:rPr>
              <w:t>不设体育的专业包括</w:t>
            </w:r>
            <w:r>
              <w:rPr>
                <w:rFonts w:hint="eastAsia" w:ascii="宋体" w:hAnsi="宋体" w:cs="宋体"/>
                <w:color w:val="FF0000"/>
                <w:sz w:val="15"/>
                <w:szCs w:val="15"/>
                <w:highlight w:val="yellow"/>
                <w:lang w:val="en-US" w:eastAsia="zh-CN"/>
              </w:rPr>
              <w:t>戏曲学院全部专业、</w:t>
            </w:r>
            <w:r>
              <w:rPr>
                <w:rFonts w:hint="eastAsia" w:ascii="宋体" w:hAnsi="宋体" w:cs="宋体"/>
                <w:color w:val="FF0000"/>
                <w:sz w:val="15"/>
                <w:szCs w:val="15"/>
                <w:highlight w:val="yellow"/>
              </w:rPr>
              <w:t>舞蹈</w:t>
            </w:r>
            <w:r>
              <w:rPr>
                <w:rFonts w:hint="eastAsia" w:ascii="宋体" w:hAnsi="宋体" w:cs="宋体"/>
                <w:color w:val="FF0000"/>
                <w:sz w:val="15"/>
                <w:szCs w:val="15"/>
                <w:highlight w:val="yellow"/>
                <w:lang w:val="en-US" w:eastAsia="zh-CN"/>
              </w:rPr>
              <w:t>学院</w:t>
            </w:r>
            <w:r>
              <w:rPr>
                <w:rFonts w:hint="eastAsia" w:ascii="宋体" w:hAnsi="宋体" w:cs="宋体"/>
                <w:color w:val="FF0000"/>
                <w:sz w:val="15"/>
                <w:szCs w:val="15"/>
                <w:highlight w:val="yellow"/>
              </w:rPr>
              <w:t>全部专业、</w:t>
            </w:r>
            <w:r>
              <w:rPr>
                <w:rFonts w:hint="eastAsia" w:ascii="宋体" w:hAnsi="宋体" w:cs="宋体"/>
                <w:color w:val="FF0000"/>
                <w:sz w:val="15"/>
                <w:szCs w:val="15"/>
                <w:highlight w:val="yellow"/>
                <w:lang w:val="en-US" w:eastAsia="zh-CN"/>
              </w:rPr>
              <w:t>戏剧影视学院戏剧影视表演专业</w:t>
            </w:r>
            <w:r>
              <w:rPr>
                <w:rFonts w:hint="eastAsia" w:ascii="宋体" w:hAnsi="宋体" w:cs="宋体"/>
                <w:color w:val="FF0000"/>
                <w:sz w:val="15"/>
                <w:szCs w:val="15"/>
                <w:highlight w:val="yellow"/>
              </w:rPr>
              <w:t>和</w:t>
            </w:r>
            <w:r>
              <w:rPr>
                <w:rFonts w:hint="eastAsia" w:ascii="宋体" w:hAnsi="宋体" w:cs="宋体"/>
                <w:color w:val="FF0000"/>
                <w:sz w:val="15"/>
                <w:szCs w:val="15"/>
                <w:highlight w:val="yellow"/>
                <w:lang w:val="en-US" w:eastAsia="zh-CN"/>
              </w:rPr>
              <w:t>演艺与教育学院</w:t>
            </w:r>
            <w:r>
              <w:rPr>
                <w:rFonts w:hint="eastAsia" w:ascii="宋体" w:hAnsi="宋体" w:cs="宋体"/>
                <w:color w:val="FF0000"/>
                <w:sz w:val="15"/>
                <w:szCs w:val="15"/>
                <w:highlight w:val="yellow"/>
              </w:rPr>
              <w:t>歌舞表演</w:t>
            </w:r>
            <w:r>
              <w:rPr>
                <w:rFonts w:hint="eastAsia" w:ascii="宋体" w:hAnsi="宋体" w:cs="宋体"/>
                <w:color w:val="FF0000"/>
                <w:sz w:val="15"/>
                <w:szCs w:val="15"/>
                <w:highlight w:val="yellow"/>
                <w:lang w:val="en-US" w:eastAsia="zh-CN"/>
              </w:rPr>
              <w:t>专业与表演艺术</w:t>
            </w:r>
            <w:r>
              <w:rPr>
                <w:rFonts w:hint="eastAsia" w:ascii="宋体" w:hAnsi="宋体" w:cs="宋体"/>
                <w:color w:val="FF0000"/>
                <w:sz w:val="15"/>
                <w:szCs w:val="15"/>
                <w:highlight w:val="yellow"/>
              </w:rPr>
              <w:t>专业</w:t>
            </w:r>
            <w:r>
              <w:rPr>
                <w:rFonts w:hint="eastAsia" w:ascii="宋体" w:hAnsi="宋体" w:cs="宋体"/>
                <w:color w:val="auto"/>
                <w:sz w:val="15"/>
                <w:szCs w:val="15"/>
                <w:highlight w:val="yellow"/>
              </w:rPr>
              <w:t>。</w:t>
            </w:r>
          </w:p>
          <w:p>
            <w:pPr>
              <w:widowControl/>
              <w:numPr>
                <w:ilvl w:val="0"/>
                <w:numId w:val="0"/>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体育（三）从第四学期期初开始连续上8周。</w:t>
            </w:r>
          </w:p>
          <w:p>
            <w:pPr>
              <w:widowControl/>
              <w:numPr>
                <w:ilvl w:val="0"/>
                <w:numId w:val="0"/>
              </w:numPr>
              <w:spacing w:line="240" w:lineRule="exact"/>
              <w:ind w:firstLine="450" w:firstLineChars="30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5.</w:t>
            </w:r>
            <w:r>
              <w:rPr>
                <w:rFonts w:hint="eastAsia" w:ascii="宋体" w:hAnsi="宋体" w:cs="宋体"/>
                <w:color w:val="auto"/>
                <w:sz w:val="15"/>
                <w:szCs w:val="15"/>
                <w:highlight w:val="none"/>
              </w:rPr>
              <w:t>安全教育每学期须完成60节微课，每个微课3分钟，每学期合计4学时。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20"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综合素质限定选修课</w:t>
            </w: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文史类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大学语文</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闭卷考试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外语类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大学英语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计算机应用基础</w:t>
            </w:r>
          </w:p>
        </w:tc>
        <w:tc>
          <w:tcPr>
            <w:tcW w:w="350"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rPr>
              <w:t>A</w:t>
            </w:r>
          </w:p>
        </w:tc>
        <w:tc>
          <w:tcPr>
            <w:tcW w:w="401"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上机考试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9"/>
            <w:vAlign w:val="center"/>
          </w:tcPr>
          <w:p>
            <w:pPr>
              <w:widowControl/>
              <w:numPr>
                <w:ilvl w:val="0"/>
                <w:numId w:val="0"/>
              </w:numPr>
              <w:spacing w:line="20" w:lineRule="atLeast"/>
              <w:ind w:left="447" w:leftChars="213" w:firstLine="0" w:firstLineChars="0"/>
              <w:jc w:val="left"/>
              <w:rPr>
                <w:rFonts w:ascii="宋体" w:hAnsi="宋体" w:cs="宋体"/>
                <w:color w:val="auto"/>
                <w:sz w:val="15"/>
                <w:szCs w:val="15"/>
                <w:highlight w:val="none"/>
              </w:rPr>
            </w:pPr>
            <w:r>
              <w:rPr>
                <w:rFonts w:hint="eastAsia" w:ascii="宋体" w:hAnsi="宋体" w:cs="宋体"/>
                <w:color w:val="auto"/>
                <w:sz w:val="15"/>
                <w:szCs w:val="15"/>
                <w:highlight w:val="none"/>
              </w:rPr>
              <w:t>备注：1</w:t>
            </w:r>
            <w:r>
              <w:rPr>
                <w:rFonts w:hint="eastAsia" w:ascii="宋体" w:hAnsi="宋体" w:cs="宋体"/>
                <w:color w:val="auto"/>
                <w:sz w:val="15"/>
                <w:szCs w:val="15"/>
                <w:highlight w:val="none"/>
                <w:lang w:val="en-US" w:eastAsia="zh-CN"/>
              </w:rPr>
              <w:t>.</w:t>
            </w:r>
            <w:r>
              <w:rPr>
                <w:rFonts w:hint="eastAsia" w:ascii="宋体" w:hAnsi="宋体" w:cs="宋体"/>
                <w:color w:val="auto"/>
                <w:sz w:val="15"/>
                <w:szCs w:val="15"/>
                <w:highlight w:val="none"/>
              </w:rPr>
              <w:t>综合素质限定选修课最低须修满6学分（其中文史类、外语类、综合类各2学分）</w:t>
            </w:r>
            <w:r>
              <w:rPr>
                <w:rFonts w:hint="eastAsia" w:ascii="宋体" w:hAnsi="宋体" w:cs="宋体"/>
                <w:color w:val="auto"/>
                <w:sz w:val="15"/>
                <w:szCs w:val="15"/>
                <w:highlight w:val="none"/>
                <w:lang w:eastAsia="zh-CN"/>
              </w:rPr>
              <w:t>，</w:t>
            </w:r>
            <w:r>
              <w:rPr>
                <w:rFonts w:hint="eastAsia" w:ascii="宋体" w:hAnsi="宋体" w:cs="宋体"/>
                <w:color w:val="FF0000"/>
                <w:sz w:val="15"/>
                <w:szCs w:val="15"/>
                <w:highlight w:val="cyan"/>
                <w:lang w:eastAsia="zh-CN"/>
              </w:rPr>
              <w:t>所有专业均开设“计算机应用基础”</w:t>
            </w:r>
            <w:r>
              <w:rPr>
                <w:rFonts w:hint="eastAsia" w:ascii="宋体" w:hAnsi="宋体" w:cs="宋体"/>
                <w:color w:val="auto"/>
                <w:sz w:val="15"/>
                <w:szCs w:val="15"/>
                <w:highlight w:val="none"/>
              </w:rPr>
              <w:t>。</w:t>
            </w:r>
          </w:p>
          <w:p>
            <w:pPr>
              <w:widowControl/>
              <w:numPr>
                <w:ilvl w:val="-1"/>
                <w:numId w:val="0"/>
              </w:numPr>
              <w:spacing w:line="20" w:lineRule="atLeast"/>
              <w:ind w:left="447" w:leftChars="213"/>
              <w:jc w:val="left"/>
              <w:rPr>
                <w:rFonts w:hint="eastAsia" w:ascii="宋体" w:hAnsi="宋体" w:cs="宋体"/>
                <w:color w:val="auto"/>
                <w:sz w:val="15"/>
                <w:szCs w:val="15"/>
                <w:highlight w:val="none"/>
                <w:lang w:eastAsia="zh-CN"/>
              </w:rPr>
            </w:pP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大学英语课程将根据学生英语水平实行分层教学，分为大学英语（初阶）</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大学英语（中阶）</w:t>
            </w:r>
            <w:r>
              <w:rPr>
                <w:rFonts w:hint="eastAsia" w:ascii="宋体" w:hAnsi="宋体" w:cs="宋体"/>
                <w:color w:val="auto"/>
                <w:sz w:val="15"/>
                <w:szCs w:val="15"/>
                <w:highlight w:val="none"/>
                <w:lang w:eastAsia="zh-CN"/>
              </w:rPr>
              <w:t>。</w:t>
            </w:r>
          </w:p>
          <w:p>
            <w:pPr>
              <w:widowControl/>
              <w:numPr>
                <w:ilvl w:val="-1"/>
                <w:numId w:val="0"/>
              </w:numPr>
              <w:spacing w:line="20" w:lineRule="atLeast"/>
              <w:ind w:left="447" w:leftChars="213"/>
              <w:jc w:val="left"/>
              <w:rPr>
                <w:rFonts w:hint="eastAsia" w:ascii="宋体" w:hAnsi="宋体" w:cs="宋体"/>
                <w:color w:val="auto"/>
                <w:sz w:val="15"/>
                <w:szCs w:val="15"/>
                <w:highlight w:val="none"/>
                <w:lang w:eastAsia="zh-CN"/>
              </w:rPr>
            </w:pPr>
            <w:r>
              <w:rPr>
                <w:rFonts w:hint="eastAsia" w:ascii="宋体" w:hAnsi="宋体" w:cs="宋体"/>
                <w:color w:val="FF0000"/>
                <w:sz w:val="15"/>
                <w:szCs w:val="15"/>
                <w:highlight w:val="yellow"/>
                <w:lang w:val="en-US" w:eastAsia="zh-CN"/>
              </w:rPr>
              <w:t>3.校外班以上课程均</w:t>
            </w:r>
            <w:r>
              <w:rPr>
                <w:rFonts w:hint="eastAsia" w:ascii="宋体" w:hAnsi="宋体" w:eastAsia="宋体" w:cs="宋体"/>
                <w:color w:val="FF0000"/>
                <w:kern w:val="2"/>
                <w:sz w:val="15"/>
                <w:szCs w:val="15"/>
                <w:highlight w:val="yellow"/>
              </w:rPr>
              <w:t>以“尔雅课程</w:t>
            </w:r>
            <w:r>
              <w:rPr>
                <w:rFonts w:ascii="宋体" w:hAnsi="宋体" w:eastAsia="宋体" w:cs="宋体"/>
                <w:color w:val="FF0000"/>
                <w:kern w:val="2"/>
                <w:sz w:val="15"/>
                <w:szCs w:val="15"/>
                <w:highlight w:val="yellow"/>
              </w:rPr>
              <w:t>+线上教学”方式完成，其中线上教学每门课不少于</w:t>
            </w:r>
            <w:r>
              <w:rPr>
                <w:rFonts w:hint="eastAsia" w:ascii="宋体" w:hAnsi="宋体" w:cs="宋体"/>
                <w:color w:val="FF0000"/>
                <w:kern w:val="2"/>
                <w:sz w:val="15"/>
                <w:szCs w:val="15"/>
                <w:highlight w:val="yellow"/>
                <w:lang w:val="en-US" w:eastAsia="zh-CN"/>
              </w:rPr>
              <w:t>3</w:t>
            </w:r>
            <w:r>
              <w:rPr>
                <w:rFonts w:ascii="宋体" w:hAnsi="宋体" w:eastAsia="宋体" w:cs="宋体"/>
                <w:color w:val="FF0000"/>
                <w:kern w:val="2"/>
                <w:sz w:val="15"/>
                <w:szCs w:val="15"/>
                <w:highlight w:val="yellow"/>
              </w:rPr>
              <w:t>次</w:t>
            </w:r>
            <w:r>
              <w:rPr>
                <w:rFonts w:hint="eastAsia" w:ascii="宋体" w:hAnsi="宋体" w:cs="宋体"/>
                <w:color w:val="FF0000"/>
                <w:kern w:val="2"/>
                <w:sz w:val="15"/>
                <w:szCs w:val="15"/>
                <w:highlight w:val="yellow"/>
                <w:lang w:val="en-US" w:eastAsia="zh-CN"/>
              </w:rPr>
              <w:t>6</w:t>
            </w:r>
            <w:r>
              <w:rPr>
                <w:rFonts w:ascii="宋体" w:hAnsi="宋体" w:eastAsia="宋体" w:cs="宋体"/>
                <w:color w:val="FF0000"/>
                <w:kern w:val="2"/>
                <w:sz w:val="15"/>
                <w:szCs w:val="15"/>
                <w:highlight w:val="yellow"/>
              </w:rPr>
              <w:t>节，其它教学课程使用网络课程完成，</w:t>
            </w:r>
            <w:r>
              <w:rPr>
                <w:rFonts w:hint="eastAsia" w:ascii="宋体" w:hAnsi="宋体" w:cs="宋体"/>
                <w:color w:val="FF0000"/>
                <w:kern w:val="2"/>
                <w:sz w:val="15"/>
                <w:szCs w:val="15"/>
                <w:highlight w:val="yellow"/>
                <w:lang w:val="en-US" w:eastAsia="zh-CN"/>
              </w:rPr>
              <w:t>每门课程都有期末考试。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综合素质任意选修课</w:t>
            </w: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w:t>
            </w:r>
          </w:p>
        </w:tc>
        <w:tc>
          <w:tcPr>
            <w:tcW w:w="507" w:type="dxa"/>
            <w:vMerge w:val="restart"/>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文史类</w:t>
            </w: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古典诗词欣赏</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2</w:t>
            </w:r>
          </w:p>
        </w:tc>
        <w:tc>
          <w:tcPr>
            <w:tcW w:w="507"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世界名著赏析</w:t>
            </w:r>
          </w:p>
        </w:tc>
        <w:tc>
          <w:tcPr>
            <w:tcW w:w="350"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3</w:t>
            </w:r>
          </w:p>
        </w:tc>
        <w:tc>
          <w:tcPr>
            <w:tcW w:w="507"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影视文学欣赏</w:t>
            </w:r>
          </w:p>
        </w:tc>
        <w:tc>
          <w:tcPr>
            <w:tcW w:w="350"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4</w:t>
            </w:r>
          </w:p>
        </w:tc>
        <w:tc>
          <w:tcPr>
            <w:tcW w:w="507"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东西方文化与心理</w:t>
            </w:r>
          </w:p>
        </w:tc>
        <w:tc>
          <w:tcPr>
            <w:tcW w:w="350"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hint="eastAsia"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5</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中国传统文化专题选讲</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both"/>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 xml:space="preserve">  </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6</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文化杂谈</w:t>
            </w:r>
          </w:p>
        </w:tc>
        <w:tc>
          <w:tcPr>
            <w:tcW w:w="350"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7</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文学大家</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8</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普通话正音</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现场面试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9</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bCs/>
                <w:color w:val="auto"/>
                <w:sz w:val="15"/>
                <w:szCs w:val="15"/>
                <w:highlight w:val="none"/>
                <w:lang w:eastAsia="zh-CN"/>
              </w:rPr>
              <w:t>普通话</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现场面试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10</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经典诵读</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现场面试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11</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专升本语文（上）</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12</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专升本语文（下）</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13</w:t>
            </w:r>
          </w:p>
        </w:tc>
        <w:tc>
          <w:tcPr>
            <w:tcW w:w="507" w:type="dxa"/>
            <w:vMerge w:val="restart"/>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外语类</w:t>
            </w: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大学英语（高阶）</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lang w:val="en-US" w:eastAsia="zh-CN"/>
              </w:rPr>
              <w:t>4</w:t>
            </w:r>
          </w:p>
        </w:tc>
        <w:tc>
          <w:tcPr>
            <w:tcW w:w="477" w:type="dxa"/>
            <w:gridSpan w:val="2"/>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lang w:val="en-US" w:eastAsia="zh-CN"/>
              </w:rPr>
              <w:t>64</w:t>
            </w:r>
          </w:p>
        </w:tc>
        <w:tc>
          <w:tcPr>
            <w:tcW w:w="412" w:type="dxa"/>
            <w:gridSpan w:val="2"/>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lang w:val="en-US" w:eastAsia="zh-CN"/>
              </w:rPr>
              <w:t>64</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14</w:t>
            </w:r>
          </w:p>
        </w:tc>
        <w:tc>
          <w:tcPr>
            <w:tcW w:w="507" w:type="dxa"/>
            <w:vMerge w:val="continue"/>
            <w:vAlign w:val="center"/>
          </w:tcPr>
          <w:p>
            <w:pPr>
              <w:spacing w:line="240" w:lineRule="exact"/>
              <w:jc w:val="center"/>
              <w:rPr>
                <w:rFonts w:hint="eastAsia"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大学英语（</w:t>
            </w:r>
            <w:r>
              <w:rPr>
                <w:rFonts w:hint="eastAsia" w:ascii="宋体" w:hAnsi="宋体" w:cs="宋体"/>
                <w:b w:val="0"/>
                <w:bCs w:val="0"/>
                <w:color w:val="auto"/>
                <w:sz w:val="15"/>
                <w:szCs w:val="15"/>
                <w:highlight w:val="none"/>
                <w:lang w:eastAsia="zh-CN"/>
              </w:rPr>
              <w:t>中</w:t>
            </w:r>
            <w:r>
              <w:rPr>
                <w:rFonts w:hint="eastAsia" w:ascii="宋体" w:hAnsi="宋体" w:cs="宋体"/>
                <w:b w:val="0"/>
                <w:bCs w:val="0"/>
                <w:color w:val="auto"/>
                <w:sz w:val="15"/>
                <w:szCs w:val="15"/>
                <w:highlight w:val="none"/>
              </w:rPr>
              <w:t>阶）</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15</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ind w:firstLine="450" w:firstLineChars="300"/>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影视英语</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16</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英语三级辅导</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17</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英语应用能力考级辅导（A级）</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18</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英语视听说（初级）</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19</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基础日语</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20</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bCs/>
                <w:color w:val="auto"/>
                <w:sz w:val="15"/>
                <w:szCs w:val="15"/>
                <w:highlight w:val="none"/>
                <w:lang w:val="en-US" w:eastAsia="zh-CN"/>
              </w:rPr>
            </w:pPr>
            <w:r>
              <w:rPr>
                <w:rFonts w:hint="eastAsia" w:ascii="宋体" w:hAnsi="宋体" w:cs="宋体"/>
                <w:b/>
                <w:bCs/>
                <w:color w:val="auto"/>
                <w:sz w:val="15"/>
                <w:szCs w:val="15"/>
                <w:highlight w:val="none"/>
                <w:lang w:val="en-US" w:eastAsia="zh-CN"/>
              </w:rPr>
              <w:t>China in Stories</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21</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bCs/>
                <w:color w:val="auto"/>
                <w:sz w:val="15"/>
                <w:szCs w:val="15"/>
                <w:highlight w:val="none"/>
                <w:lang w:val="en-US" w:eastAsia="zh-CN"/>
              </w:rPr>
            </w:pPr>
            <w:r>
              <w:rPr>
                <w:rFonts w:hint="eastAsia" w:ascii="宋体" w:hAnsi="宋体" w:cs="宋体"/>
                <w:b/>
                <w:bCs/>
                <w:color w:val="auto"/>
                <w:sz w:val="15"/>
                <w:szCs w:val="15"/>
                <w:highlight w:val="none"/>
                <w:lang w:val="en-US" w:eastAsia="zh-CN"/>
              </w:rPr>
              <w:t>CET4翻译辅导</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22</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专升本英语（上）</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3</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48</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48</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23</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专升本英语（下）</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3</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48</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48</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口试+笔试</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24</w:t>
            </w:r>
          </w:p>
        </w:tc>
        <w:tc>
          <w:tcPr>
            <w:tcW w:w="507" w:type="dxa"/>
            <w:vMerge w:val="restart"/>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综合类</w:t>
            </w: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视频剪辑技术</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r>
              <w:rPr>
                <w:rFonts w:hint="eastAsia" w:ascii="宋体" w:hAnsi="宋体" w:cs="宋体"/>
                <w:b w:val="0"/>
                <w:bCs w:val="0"/>
                <w:color w:val="auto"/>
                <w:sz w:val="15"/>
                <w:szCs w:val="15"/>
                <w:highlight w:val="none"/>
                <w:lang w:val="en-US" w:eastAsia="zh-CN"/>
              </w:rPr>
              <w:t>5</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图像处理技术</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27</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bCs/>
                <w:color w:val="auto"/>
                <w:sz w:val="15"/>
                <w:szCs w:val="15"/>
                <w:highlight w:val="none"/>
              </w:rPr>
              <w:t>H5页面设计与制作</w:t>
            </w:r>
          </w:p>
        </w:tc>
        <w:tc>
          <w:tcPr>
            <w:tcW w:w="350" w:type="dxa"/>
            <w:vAlign w:val="center"/>
          </w:tcPr>
          <w:p>
            <w:pPr>
              <w:spacing w:line="240" w:lineRule="exact"/>
              <w:jc w:val="center"/>
              <w:rPr>
                <w:rFonts w:hint="eastAsia" w:ascii="宋体" w:hAnsi="宋体" w:eastAsia="宋体" w:cs="宋体"/>
                <w:b w:val="0"/>
                <w:bCs w:val="0"/>
                <w:color w:val="auto"/>
                <w:sz w:val="15"/>
                <w:szCs w:val="15"/>
                <w:highlight w:val="yellow"/>
                <w:lang w:eastAsia="zh-CN"/>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28</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幸福课</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29</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书法</w:t>
            </w:r>
          </w:p>
        </w:tc>
        <w:tc>
          <w:tcPr>
            <w:tcW w:w="350" w:type="dxa"/>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w:t>
            </w:r>
            <w:r>
              <w:rPr>
                <w:rFonts w:hint="eastAsia" w:ascii="宋体" w:hAnsi="宋体" w:cs="宋体"/>
                <w:b w:val="0"/>
                <w:bCs w:val="0"/>
                <w:color w:val="auto"/>
                <w:sz w:val="15"/>
                <w:szCs w:val="15"/>
                <w:highlight w:val="none"/>
                <w:lang w:val="en-US" w:eastAsia="zh-CN"/>
              </w:rPr>
              <w:t>0</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lang w:val="en-US" w:eastAsia="zh-CN"/>
              </w:rPr>
              <w:t>艺术欣赏</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分组作业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lang w:val="en-US" w:eastAsia="zh-CN"/>
              </w:rPr>
              <w:t>31</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b/>
                <w:bCs/>
                <w:color w:val="auto"/>
                <w:sz w:val="15"/>
                <w:szCs w:val="15"/>
                <w:highlight w:val="none"/>
                <w:lang w:eastAsia="zh-CN"/>
              </w:rPr>
              <w:t>手机摄影艺术</w:t>
            </w:r>
          </w:p>
        </w:tc>
        <w:tc>
          <w:tcPr>
            <w:tcW w:w="350" w:type="dxa"/>
            <w:vAlign w:val="center"/>
          </w:tcPr>
          <w:p>
            <w:pPr>
              <w:spacing w:line="240" w:lineRule="exact"/>
              <w:jc w:val="center"/>
              <w:rPr>
                <w:rFonts w:hint="eastAsia" w:ascii="宋体" w:hAnsi="宋体" w:eastAsia="宋体" w:cs="宋体"/>
                <w:b w:val="0"/>
                <w:bCs w:val="0"/>
                <w:color w:val="auto"/>
                <w:sz w:val="15"/>
                <w:szCs w:val="15"/>
                <w:highlight w:val="none"/>
                <w:lang w:eastAsia="zh-CN"/>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32</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b/>
                <w:bCs/>
                <w:color w:val="auto"/>
                <w:sz w:val="15"/>
                <w:szCs w:val="15"/>
                <w:highlight w:val="none"/>
                <w:lang w:eastAsia="zh-CN"/>
              </w:rPr>
              <w:t>影视艺术鉴赏</w:t>
            </w:r>
          </w:p>
        </w:tc>
        <w:tc>
          <w:tcPr>
            <w:tcW w:w="350"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hint="eastAsia"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b w:val="0"/>
                <w:bCs w:val="0"/>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b w:val="0"/>
                <w:bCs w:val="0"/>
                <w:color w:val="auto"/>
                <w:sz w:val="15"/>
                <w:szCs w:val="15"/>
                <w:highlight w:val="none"/>
                <w:lang w:val="en-US" w:eastAsia="zh-CN"/>
              </w:rPr>
            </w:pPr>
            <w:r>
              <w:rPr>
                <w:rFonts w:hint="eastAsia" w:ascii="宋体" w:hAnsi="宋体" w:cs="宋体"/>
                <w:b w:val="0"/>
                <w:bCs w:val="0"/>
                <w:color w:val="auto"/>
                <w:sz w:val="15"/>
                <w:szCs w:val="15"/>
                <w:highlight w:val="none"/>
                <w:lang w:val="en-US" w:eastAsia="zh-CN"/>
              </w:rPr>
              <w:t>33</w:t>
            </w:r>
          </w:p>
        </w:tc>
        <w:tc>
          <w:tcPr>
            <w:tcW w:w="507" w:type="dxa"/>
            <w:vMerge w:val="continue"/>
            <w:vAlign w:val="center"/>
          </w:tcPr>
          <w:p>
            <w:pPr>
              <w:spacing w:line="240" w:lineRule="exact"/>
              <w:jc w:val="center"/>
              <w:rPr>
                <w:rFonts w:ascii="宋体" w:hAnsi="宋体" w:cs="宋体"/>
                <w:b w:val="0"/>
                <w:bCs w:val="0"/>
                <w:color w:val="auto"/>
                <w:sz w:val="15"/>
                <w:szCs w:val="15"/>
                <w:highlight w:val="none"/>
              </w:rPr>
            </w:pPr>
          </w:p>
        </w:tc>
        <w:tc>
          <w:tcPr>
            <w:tcW w:w="1725"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b/>
                <w:bCs/>
                <w:color w:val="auto"/>
                <w:sz w:val="15"/>
                <w:szCs w:val="15"/>
                <w:highlight w:val="none"/>
                <w:lang w:eastAsia="zh-CN"/>
              </w:rPr>
              <w:t>民族民间音乐赏析</w:t>
            </w:r>
          </w:p>
        </w:tc>
        <w:tc>
          <w:tcPr>
            <w:tcW w:w="350"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A</w:t>
            </w:r>
          </w:p>
        </w:tc>
        <w:tc>
          <w:tcPr>
            <w:tcW w:w="401"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2</w:t>
            </w:r>
          </w:p>
        </w:tc>
        <w:tc>
          <w:tcPr>
            <w:tcW w:w="477"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12" w:type="dxa"/>
            <w:gridSpan w:val="2"/>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32</w:t>
            </w:r>
          </w:p>
        </w:tc>
        <w:tc>
          <w:tcPr>
            <w:tcW w:w="425" w:type="dxa"/>
            <w:vAlign w:val="center"/>
          </w:tcPr>
          <w:p>
            <w:pPr>
              <w:spacing w:line="240" w:lineRule="exact"/>
              <w:jc w:val="center"/>
              <w:rPr>
                <w:rFonts w:ascii="宋体" w:hAnsi="宋体" w:cs="宋体"/>
                <w:b w:val="0"/>
                <w:bCs w:val="0"/>
                <w:color w:val="auto"/>
                <w:sz w:val="15"/>
                <w:szCs w:val="15"/>
                <w:highlight w:val="none"/>
              </w:rPr>
            </w:pPr>
          </w:p>
        </w:tc>
        <w:tc>
          <w:tcPr>
            <w:tcW w:w="598"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大型作业</w:t>
            </w:r>
          </w:p>
        </w:tc>
        <w:tc>
          <w:tcPr>
            <w:tcW w:w="650" w:type="dxa"/>
            <w:vAlign w:val="center"/>
          </w:tcPr>
          <w:p>
            <w:pPr>
              <w:spacing w:line="240" w:lineRule="exact"/>
              <w:jc w:val="center"/>
              <w:rPr>
                <w:rFonts w:ascii="宋体" w:hAnsi="宋体" w:cs="宋体"/>
                <w:b w:val="0"/>
                <w:bCs w:val="0"/>
                <w:color w:val="auto"/>
                <w:sz w:val="15"/>
                <w:szCs w:val="15"/>
                <w:highlight w:val="none"/>
              </w:rPr>
            </w:pPr>
          </w:p>
        </w:tc>
        <w:tc>
          <w:tcPr>
            <w:tcW w:w="612"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663" w:type="dxa"/>
            <w:vAlign w:val="center"/>
          </w:tcPr>
          <w:p>
            <w:pPr>
              <w:spacing w:line="240" w:lineRule="exact"/>
              <w:jc w:val="center"/>
              <w:rPr>
                <w:rFonts w:ascii="宋体" w:hAnsi="宋体" w:cs="宋体"/>
                <w:b w:val="0"/>
                <w:bCs w:val="0"/>
                <w:color w:val="auto"/>
                <w:sz w:val="15"/>
                <w:szCs w:val="15"/>
                <w:highlight w:val="none"/>
              </w:rPr>
            </w:pPr>
            <w:r>
              <w:rPr>
                <w:rFonts w:hint="eastAsia" w:ascii="宋体" w:hAnsi="宋体" w:cs="宋体"/>
                <w:b w:val="0"/>
                <w:bCs w:val="0"/>
                <w:color w:val="auto"/>
                <w:sz w:val="15"/>
                <w:szCs w:val="15"/>
                <w:highlight w:val="none"/>
              </w:rPr>
              <w:t>√</w:t>
            </w:r>
          </w:p>
        </w:tc>
        <w:tc>
          <w:tcPr>
            <w:tcW w:w="587" w:type="dxa"/>
            <w:vAlign w:val="center"/>
          </w:tcPr>
          <w:p>
            <w:pPr>
              <w:spacing w:line="240" w:lineRule="exact"/>
              <w:jc w:val="center"/>
              <w:rPr>
                <w:rFonts w:ascii="宋体" w:hAnsi="宋体" w:cs="宋体"/>
                <w:b w:val="0"/>
                <w:bCs w:val="0"/>
                <w:color w:val="auto"/>
                <w:sz w:val="15"/>
                <w:szCs w:val="15"/>
                <w:highlight w:val="none"/>
              </w:rPr>
            </w:pPr>
          </w:p>
        </w:tc>
        <w:tc>
          <w:tcPr>
            <w:tcW w:w="638" w:type="dxa"/>
            <w:vAlign w:val="center"/>
          </w:tcPr>
          <w:p>
            <w:pPr>
              <w:spacing w:line="240" w:lineRule="exact"/>
              <w:jc w:val="center"/>
              <w:rPr>
                <w:rFonts w:ascii="宋体" w:hAnsi="宋体" w:cs="宋体"/>
                <w:b w:val="0"/>
                <w:bCs w:val="0"/>
                <w:color w:val="auto"/>
                <w:spacing w:val="-24"/>
                <w:sz w:val="15"/>
                <w:szCs w:val="15"/>
                <w:highlight w:val="none"/>
              </w:rPr>
            </w:pPr>
          </w:p>
        </w:tc>
        <w:tc>
          <w:tcPr>
            <w:tcW w:w="612" w:type="dxa"/>
            <w:vAlign w:val="center"/>
          </w:tcPr>
          <w:p>
            <w:pPr>
              <w:widowControl/>
              <w:spacing w:line="240" w:lineRule="exact"/>
              <w:jc w:val="center"/>
              <w:rPr>
                <w:rFonts w:ascii="宋体" w:hAnsi="宋体" w:cs="宋体"/>
                <w:b w:val="0"/>
                <w:bCs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9"/>
            <w:vAlign w:val="center"/>
          </w:tcPr>
          <w:p>
            <w:pPr>
              <w:widowControl/>
              <w:numPr>
                <w:ilvl w:val="0"/>
                <w:numId w:val="0"/>
              </w:numPr>
              <w:spacing w:line="240" w:lineRule="exact"/>
              <w:ind w:left="450"/>
              <w:jc w:val="left"/>
              <w:rPr>
                <w:rFonts w:ascii="宋体" w:hAnsi="宋体" w:cs="宋体"/>
                <w:color w:val="auto"/>
                <w:sz w:val="15"/>
                <w:szCs w:val="15"/>
                <w:highlight w:val="none"/>
              </w:rPr>
            </w:pPr>
            <w:r>
              <w:rPr>
                <w:rFonts w:hint="eastAsia" w:ascii="宋体" w:hAnsi="宋体" w:cs="宋体"/>
                <w:color w:val="auto"/>
                <w:sz w:val="15"/>
                <w:szCs w:val="15"/>
                <w:highlight w:val="none"/>
              </w:rPr>
              <w:t>备注：1.综合素质任意选修课最低须修满8学分，不设体育的专业为10学分（其中文史类、外语类最低2学分）</w:t>
            </w:r>
            <w:r>
              <w:rPr>
                <w:rFonts w:hint="eastAsia" w:ascii="宋体" w:hAnsi="宋体" w:cs="宋体"/>
                <w:color w:val="auto"/>
                <w:sz w:val="15"/>
                <w:szCs w:val="15"/>
                <w:highlight w:val="none"/>
                <w:lang w:eastAsia="zh-CN"/>
              </w:rPr>
              <w:t>。</w:t>
            </w:r>
          </w:p>
          <w:p>
            <w:pPr>
              <w:widowControl/>
              <w:numPr>
                <w:ilvl w:val="0"/>
                <w:numId w:val="0"/>
              </w:numPr>
              <w:spacing w:line="240" w:lineRule="exact"/>
              <w:ind w:left="450" w:leftChars="0"/>
              <w:jc w:val="left"/>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lang w:eastAsia="zh-CN"/>
              </w:rPr>
              <w:t>图像处理技术课程不针对多媒体和影视编导专业开设。</w:t>
            </w:r>
          </w:p>
          <w:p>
            <w:pPr>
              <w:widowControl/>
              <w:numPr>
                <w:ilvl w:val="0"/>
                <w:numId w:val="0"/>
              </w:numPr>
              <w:spacing w:line="240" w:lineRule="exact"/>
              <w:ind w:left="450" w:leftChars="0"/>
              <w:jc w:val="left"/>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3.</w:t>
            </w:r>
            <w:r>
              <w:rPr>
                <w:rFonts w:hint="eastAsia" w:ascii="宋体" w:hAnsi="宋体" w:cs="宋体"/>
                <w:color w:val="auto"/>
                <w:sz w:val="15"/>
                <w:szCs w:val="15"/>
                <w:highlight w:val="none"/>
              </w:rPr>
              <w:t>专升本语文和英语为选拔性提高类课程，需提前填写申请表，由任课教师评估和开课部门审核后确定选课名单。为保证课程的连贯性，专升本语文和英语（上）、（下）两门课程须一起选，原则上中途不得退课。</w:t>
            </w:r>
          </w:p>
          <w:p>
            <w:pPr>
              <w:widowControl/>
              <w:numPr>
                <w:ilvl w:val="0"/>
                <w:numId w:val="0"/>
              </w:numPr>
              <w:spacing w:line="240" w:lineRule="exact"/>
              <w:ind w:left="450" w:leftChars="0"/>
              <w:jc w:val="left"/>
              <w:rPr>
                <w:rFonts w:hint="eastAsia" w:ascii="宋体" w:hAnsi="宋体" w:cs="宋体"/>
                <w:color w:val="auto"/>
                <w:sz w:val="15"/>
                <w:szCs w:val="15"/>
                <w:highlight w:val="yellow"/>
                <w:lang w:val="en-US" w:eastAsia="zh-CN"/>
              </w:rPr>
            </w:pPr>
            <w:r>
              <w:rPr>
                <w:rFonts w:hint="eastAsia" w:ascii="宋体" w:hAnsi="宋体" w:cs="宋体"/>
                <w:color w:val="auto"/>
                <w:sz w:val="15"/>
                <w:szCs w:val="15"/>
                <w:highlight w:val="yellow"/>
                <w:lang w:val="en-US" w:eastAsia="zh-CN"/>
              </w:rPr>
              <w:t>4</w:t>
            </w:r>
            <w:r>
              <w:rPr>
                <w:rFonts w:hint="eastAsia" w:ascii="宋体" w:hAnsi="宋体" w:cs="宋体"/>
                <w:color w:val="FF0000"/>
                <w:sz w:val="15"/>
                <w:szCs w:val="15"/>
                <w:highlight w:val="yellow"/>
                <w:lang w:val="en-US" w:eastAsia="zh-CN"/>
              </w:rPr>
              <w:t>.H5页面设计与制作课程与“1+X”职业技能等级证书相融合，选用北京乐享云创科技有限公司的融媒体内容制作（中级）证书</w:t>
            </w:r>
            <w:r>
              <w:rPr>
                <w:rFonts w:hint="eastAsia" w:ascii="宋体" w:hAnsi="宋体" w:cs="宋体"/>
                <w:color w:val="auto"/>
                <w:sz w:val="15"/>
                <w:szCs w:val="15"/>
                <w:highlight w:val="yellow"/>
                <w:lang w:val="en-US" w:eastAsia="zh-CN"/>
              </w:rPr>
              <w:t>。</w:t>
            </w:r>
          </w:p>
          <w:p>
            <w:pPr>
              <w:widowControl/>
              <w:numPr>
                <w:ilvl w:val="0"/>
                <w:numId w:val="0"/>
              </w:numPr>
              <w:spacing w:line="240" w:lineRule="exact"/>
              <w:ind w:left="450" w:leftChars="0"/>
              <w:jc w:val="left"/>
              <w:rPr>
                <w:rFonts w:hint="default" w:ascii="宋体" w:hAnsi="宋体" w:cs="宋体"/>
                <w:color w:val="auto"/>
                <w:sz w:val="15"/>
                <w:szCs w:val="15"/>
                <w:highlight w:val="yellow"/>
                <w:lang w:val="en-US" w:eastAsia="zh-CN"/>
              </w:rPr>
            </w:pPr>
            <w:r>
              <w:rPr>
                <w:rFonts w:hint="eastAsia" w:ascii="宋体" w:hAnsi="宋体" w:cs="宋体"/>
                <w:color w:val="auto"/>
                <w:sz w:val="15"/>
                <w:szCs w:val="15"/>
                <w:highlight w:val="yellow"/>
                <w:lang w:val="en-US" w:eastAsia="zh-CN"/>
              </w:rPr>
              <w:t>5.校外班综合素质任意选修课须修满10学分，均使用“尔雅课程”网络授课方式完成，期末考试为线上考试。</w:t>
            </w:r>
          </w:p>
        </w:tc>
      </w:tr>
    </w:tbl>
    <w:p>
      <w:pP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txbx>
                      <w:txbxContent>
                        <w:p>
                          <w:pPr>
                            <w:pStyle w:val="3"/>
                            <w:rPr>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44pt;width:6pt;mso-position-horizontal:center;mso-position-horizontal-relative:margin;z-index:251659264;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LU/oP0gAAAAQBAAAPAAAAAAAAAAEAIAAAACIAAABkcnMvZG93&#10;bnJldi54bWxQSwECFAAUAAAACACHTuJAxIwYt80BAACUAwAADgAAAAAAAAABACAAAAAhAQAAZHJz&#10;L2Uyb0RvYy54bWxQSwUGAAAAAAYABgBZAQAAYAUAAAAA&#10;">
              <v:fill on="f" focussize="0,0"/>
              <v:stroke on="f" weight="0.5pt"/>
              <v:imagedata o:title=""/>
              <o:lock v:ext="edit" aspectratio="f"/>
              <v:textbox inset="0mm,0mm,0mm,0mm" style="mso-fit-shape-to-text:t;">
                <w:txbxContent>
                  <w:p>
                    <w:pPr>
                      <w:pStyle w:val="3"/>
                      <w:rPr>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9B3F8"/>
    <w:multiLevelType w:val="singleLevel"/>
    <w:tmpl w:val="5ED9B3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TdhMmNiM2VhMTkzMDYxZWI0OWE0Zjc3MTMyZTgifQ=="/>
  </w:docVars>
  <w:rsids>
    <w:rsidRoot w:val="003107FC"/>
    <w:rsid w:val="00235441"/>
    <w:rsid w:val="003107FC"/>
    <w:rsid w:val="0035293B"/>
    <w:rsid w:val="0041735D"/>
    <w:rsid w:val="00543B21"/>
    <w:rsid w:val="00564D61"/>
    <w:rsid w:val="005E0F28"/>
    <w:rsid w:val="0061244D"/>
    <w:rsid w:val="00795473"/>
    <w:rsid w:val="00B65203"/>
    <w:rsid w:val="00C75E33"/>
    <w:rsid w:val="00E9250E"/>
    <w:rsid w:val="051E16DC"/>
    <w:rsid w:val="078E3CAE"/>
    <w:rsid w:val="08EF3762"/>
    <w:rsid w:val="0AB40AAD"/>
    <w:rsid w:val="0CF81B67"/>
    <w:rsid w:val="0DC77627"/>
    <w:rsid w:val="10CE5B7E"/>
    <w:rsid w:val="11232F14"/>
    <w:rsid w:val="11EB6442"/>
    <w:rsid w:val="1208025A"/>
    <w:rsid w:val="129A1000"/>
    <w:rsid w:val="141B2394"/>
    <w:rsid w:val="14217DF5"/>
    <w:rsid w:val="14E246C4"/>
    <w:rsid w:val="14E94BDA"/>
    <w:rsid w:val="180A4CFC"/>
    <w:rsid w:val="1A764C10"/>
    <w:rsid w:val="1DA679F0"/>
    <w:rsid w:val="1DB52808"/>
    <w:rsid w:val="1DE310E1"/>
    <w:rsid w:val="20654F45"/>
    <w:rsid w:val="215E28FA"/>
    <w:rsid w:val="2351308E"/>
    <w:rsid w:val="23554EEA"/>
    <w:rsid w:val="2673079B"/>
    <w:rsid w:val="26EB3F3D"/>
    <w:rsid w:val="27542351"/>
    <w:rsid w:val="2A6847FF"/>
    <w:rsid w:val="2BA2016B"/>
    <w:rsid w:val="2D100D9D"/>
    <w:rsid w:val="2DFC0956"/>
    <w:rsid w:val="31777245"/>
    <w:rsid w:val="323D7DCA"/>
    <w:rsid w:val="32DB1FCA"/>
    <w:rsid w:val="34D55B84"/>
    <w:rsid w:val="35D56DE4"/>
    <w:rsid w:val="3707525F"/>
    <w:rsid w:val="3A696D43"/>
    <w:rsid w:val="3C1B64CA"/>
    <w:rsid w:val="3EE251C6"/>
    <w:rsid w:val="41D63C39"/>
    <w:rsid w:val="43523D34"/>
    <w:rsid w:val="43E50164"/>
    <w:rsid w:val="44236EF1"/>
    <w:rsid w:val="467B11F6"/>
    <w:rsid w:val="478B413A"/>
    <w:rsid w:val="4AF65B7D"/>
    <w:rsid w:val="4BA04F19"/>
    <w:rsid w:val="4C0F6775"/>
    <w:rsid w:val="4C585C4A"/>
    <w:rsid w:val="4D8858B1"/>
    <w:rsid w:val="4E0B5DC7"/>
    <w:rsid w:val="4E934751"/>
    <w:rsid w:val="4EBD41D6"/>
    <w:rsid w:val="4F3F7361"/>
    <w:rsid w:val="514D29A6"/>
    <w:rsid w:val="51761448"/>
    <w:rsid w:val="53CD56AD"/>
    <w:rsid w:val="54A5608C"/>
    <w:rsid w:val="567353FA"/>
    <w:rsid w:val="56EF18A8"/>
    <w:rsid w:val="599D2F34"/>
    <w:rsid w:val="5ACC711E"/>
    <w:rsid w:val="5B6759CD"/>
    <w:rsid w:val="5CFF44B5"/>
    <w:rsid w:val="5F0D3A17"/>
    <w:rsid w:val="602B6AA7"/>
    <w:rsid w:val="60DB4BB0"/>
    <w:rsid w:val="61684009"/>
    <w:rsid w:val="61C11696"/>
    <w:rsid w:val="63481A1F"/>
    <w:rsid w:val="65234DB2"/>
    <w:rsid w:val="657E20D0"/>
    <w:rsid w:val="65BA1EBA"/>
    <w:rsid w:val="68941ACB"/>
    <w:rsid w:val="6A6C3263"/>
    <w:rsid w:val="6C85327F"/>
    <w:rsid w:val="6E056BC3"/>
    <w:rsid w:val="6F1032BA"/>
    <w:rsid w:val="6F141779"/>
    <w:rsid w:val="6FF169BE"/>
    <w:rsid w:val="700E50A7"/>
    <w:rsid w:val="70D41A0A"/>
    <w:rsid w:val="72BA0329"/>
    <w:rsid w:val="73322C1D"/>
    <w:rsid w:val="742360EF"/>
    <w:rsid w:val="7450342C"/>
    <w:rsid w:val="758C35B1"/>
    <w:rsid w:val="7B62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440" w:lineRule="exact"/>
      <w:jc w:val="center"/>
      <w:outlineLvl w:val="0"/>
    </w:pPr>
    <w:rPr>
      <w:rFonts w:ascii="黑体" w:hAnsi="黑体" w:eastAsia="黑体" w:cs="黑体"/>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mbria" w:hAnsi="Cambria"/>
      <w:b/>
      <w:bCs/>
      <w:kern w:val="28"/>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3138</Words>
  <Characters>3394</Characters>
  <Lines>29</Lines>
  <Paragraphs>8</Paragraphs>
  <TotalTime>8</TotalTime>
  <ScaleCrop>false</ScaleCrop>
  <LinksUpToDate>false</LinksUpToDate>
  <CharactersWithSpaces>3398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2012-12-31T16:41:00Z</dcterms:created>
  <dc:creator>Administrator</dc:creator>
  <cp:lastModifiedBy>WPS_397779544</cp:lastModifiedBy>
  <cp:lastPrinted>2022-06-02T01:23:00Z</cp:lastPrinted>
  <dcterms:modified xsi:type="dcterms:W3CDTF">2022-09-05T07:10:30Z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50D49FD21043495599ED441F1A7BAC20</vt:lpwstr>
  </property>
</Properties>
</file>