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430004101"/>
      <w:r>
        <w:rPr>
          <w:rFonts w:hint="eastAsia"/>
        </w:rPr>
        <w:t>综合素质课程人才培养方案（三年制）</w:t>
      </w:r>
      <w:bookmarkEnd w:id="0"/>
    </w:p>
    <w:p>
      <w:pPr>
        <w:rPr>
          <w:b/>
          <w:bCs/>
        </w:rPr>
      </w:pPr>
      <w:r>
        <w:rPr>
          <w:rFonts w:hint="eastAsia"/>
        </w:rPr>
        <w:t xml:space="preserve">                           </w:t>
      </w:r>
      <w:bookmarkStart w:id="19" w:name="_GoBack"/>
      <w:bookmarkEnd w:id="19"/>
    </w:p>
    <w:p>
      <w:pPr>
        <w:pStyle w:val="8"/>
        <w:spacing w:before="0" w:beforeAutospacing="0" w:after="0" w:afterAutospacing="0" w:line="440" w:lineRule="exact"/>
        <w:jc w:val="center"/>
        <w:rPr>
          <w:sz w:val="32"/>
          <w:szCs w:val="32"/>
        </w:rPr>
      </w:pPr>
    </w:p>
    <w:p>
      <w:pPr>
        <w:pStyle w:val="8"/>
        <w:spacing w:before="0" w:beforeAutospacing="0" w:after="0" w:afterAutospacing="0" w:line="440" w:lineRule="exact"/>
        <w:ind w:firstLine="555"/>
        <w:rPr>
          <w:b/>
          <w:spacing w:val="-6"/>
          <w:sz w:val="28"/>
          <w:szCs w:val="28"/>
        </w:rPr>
      </w:pPr>
      <w:bookmarkStart w:id="1" w:name="_Toc419711116"/>
      <w:bookmarkStart w:id="2" w:name="_Toc419711792"/>
      <w:bookmarkStart w:id="3" w:name="_Toc423606069"/>
      <w:r>
        <w:rPr>
          <w:rFonts w:hint="eastAsia"/>
          <w:b/>
          <w:spacing w:val="-6"/>
          <w:sz w:val="28"/>
          <w:szCs w:val="28"/>
        </w:rPr>
        <w:t>一、培养目标及核心课程</w:t>
      </w:r>
      <w:bookmarkEnd w:id="1"/>
      <w:bookmarkEnd w:id="2"/>
      <w:bookmarkEnd w:id="3"/>
    </w:p>
    <w:p>
      <w:pPr>
        <w:widowControl/>
        <w:spacing w:line="440" w:lineRule="exact"/>
        <w:ind w:firstLine="480" w:firstLineChars="200"/>
        <w:jc w:val="left"/>
        <w:rPr>
          <w:rFonts w:ascii="宋体" w:hAnsi="宋体" w:cs="宋体"/>
          <w:sz w:val="24"/>
          <w:szCs w:val="24"/>
        </w:rPr>
      </w:pPr>
      <w:bookmarkStart w:id="4" w:name="_Toc419711793"/>
      <w:bookmarkStart w:id="5" w:name="_Toc419711117"/>
      <w:r>
        <w:rPr>
          <w:rFonts w:hint="eastAsia" w:ascii="宋体" w:hAnsi="宋体" w:cs="宋体"/>
          <w:sz w:val="24"/>
          <w:szCs w:val="24"/>
        </w:rPr>
        <w:t>综合素质课是基础教学部面向全院学生开设的课程。该课程紧紧围绕“立德树人为根本，必备文化为基础”的原则，培养学生形成崇高的理想信念，树立正确的世界观、人生观、价值观，培养良好的思想道德和法律素质，进一步提高分辨是非、善恶、美丑和加强自我修养的能力；同时，让学生掌握必须的文化基础知识，具有健康的身心素质，不断增强综合素质，拓展学术视野，最终成为高素质高技能应用型文化艺术人才。</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核心课程为：思想道德修养与法律基础、毛泽东思想和中国特色社会主义理论体系概论、形势与政策教育、大学生职业发展与就业指导、大学生心理健康教育、大学语文、大学英语、计算机应用基础、体育等。</w:t>
      </w:r>
    </w:p>
    <w:p>
      <w:pPr>
        <w:pStyle w:val="8"/>
        <w:spacing w:before="0" w:beforeAutospacing="0" w:after="0" w:afterAutospacing="0" w:line="440" w:lineRule="exact"/>
        <w:rPr>
          <w:sz w:val="28"/>
          <w:szCs w:val="28"/>
        </w:rPr>
      </w:pPr>
      <w:bookmarkStart w:id="6" w:name="_Toc423606070"/>
    </w:p>
    <w:p>
      <w:pPr>
        <w:pStyle w:val="8"/>
        <w:spacing w:before="0" w:beforeAutospacing="0" w:after="0" w:afterAutospacing="0" w:line="440" w:lineRule="exact"/>
        <w:ind w:firstLine="555"/>
        <w:rPr>
          <w:b/>
          <w:spacing w:val="-6"/>
          <w:sz w:val="28"/>
          <w:szCs w:val="28"/>
        </w:rPr>
      </w:pPr>
      <w:r>
        <w:rPr>
          <w:rFonts w:hint="eastAsia"/>
          <w:b/>
          <w:spacing w:val="-6"/>
          <w:sz w:val="28"/>
          <w:szCs w:val="28"/>
        </w:rPr>
        <w:t>二、人才培养规格要求和知识、能力、素质结构</w:t>
      </w:r>
      <w:bookmarkEnd w:id="4"/>
      <w:bookmarkEnd w:id="5"/>
      <w:bookmarkEnd w:id="6"/>
    </w:p>
    <w:p>
      <w:pPr>
        <w:spacing w:line="440" w:lineRule="exact"/>
        <w:ind w:firstLine="480" w:firstLineChars="200"/>
        <w:rPr>
          <w:rFonts w:ascii="宋体" w:hAnsi="宋体" w:cs="宋体"/>
          <w:sz w:val="24"/>
          <w:szCs w:val="24"/>
        </w:rPr>
      </w:pPr>
      <w:r>
        <w:rPr>
          <w:rFonts w:hint="eastAsia" w:ascii="宋体" w:hAnsi="宋体" w:cs="宋体"/>
          <w:sz w:val="24"/>
          <w:szCs w:val="24"/>
        </w:rPr>
        <w:t>1.政治思想基本要求</w:t>
      </w:r>
    </w:p>
    <w:p>
      <w:pPr>
        <w:spacing w:line="440" w:lineRule="exact"/>
        <w:ind w:firstLine="480" w:firstLineChars="200"/>
        <w:rPr>
          <w:rFonts w:ascii="宋体" w:hAnsi="宋体" w:cs="宋体"/>
          <w:sz w:val="24"/>
          <w:szCs w:val="24"/>
        </w:rPr>
      </w:pPr>
      <w:r>
        <w:rPr>
          <w:rFonts w:hint="eastAsia" w:ascii="宋体" w:hAnsi="宋体" w:cs="宋体"/>
          <w:sz w:val="24"/>
          <w:szCs w:val="24"/>
        </w:rPr>
        <w:t>（1）基本掌握马克思主义、邓小平理论、“三个代表”重要思想、科学发展观、习近平新时代中国特色社会主义理论，坚定在党的领导下走中国特色社会主义道路的理想信念。</w:t>
      </w:r>
    </w:p>
    <w:p>
      <w:pPr>
        <w:spacing w:line="440" w:lineRule="exact"/>
        <w:ind w:firstLine="480" w:firstLineChars="200"/>
        <w:rPr>
          <w:rFonts w:ascii="宋体" w:hAnsi="宋体" w:cs="宋体"/>
          <w:sz w:val="24"/>
          <w:szCs w:val="24"/>
        </w:rPr>
      </w:pPr>
      <w:r>
        <w:rPr>
          <w:rFonts w:hint="eastAsia" w:ascii="宋体" w:hAnsi="宋体" w:cs="宋体"/>
          <w:sz w:val="24"/>
          <w:szCs w:val="24"/>
        </w:rPr>
        <w:t>（2）了解基本国情和形势与政策，增强对改革开放和实现中华民族伟大复习的自觉性和坚定性，正确认识肩负的历史使命。</w:t>
      </w:r>
    </w:p>
    <w:p>
      <w:pPr>
        <w:spacing w:line="440" w:lineRule="exact"/>
        <w:ind w:firstLine="480" w:firstLineChars="200"/>
        <w:rPr>
          <w:rFonts w:ascii="宋体" w:hAnsi="宋体" w:cs="宋体"/>
          <w:sz w:val="24"/>
          <w:szCs w:val="24"/>
        </w:rPr>
      </w:pPr>
      <w:r>
        <w:rPr>
          <w:rFonts w:hint="eastAsia" w:ascii="宋体" w:hAnsi="宋体" w:cs="宋体"/>
          <w:sz w:val="24"/>
          <w:szCs w:val="24"/>
        </w:rPr>
        <w:t>（3）具有高尚的理想情操和良好的道德品质，树立科学的世界观，具有社会主义法制观念，树立文明的行为规范。</w:t>
      </w:r>
    </w:p>
    <w:p>
      <w:pPr>
        <w:spacing w:line="440" w:lineRule="exact"/>
        <w:ind w:firstLine="480" w:firstLineChars="200"/>
        <w:rPr>
          <w:rFonts w:ascii="宋体" w:hAnsi="宋体" w:cs="宋体"/>
          <w:sz w:val="24"/>
          <w:szCs w:val="24"/>
        </w:rPr>
      </w:pPr>
      <w:r>
        <w:rPr>
          <w:rFonts w:hint="eastAsia" w:ascii="宋体" w:hAnsi="宋体" w:cs="宋体"/>
          <w:sz w:val="24"/>
          <w:szCs w:val="24"/>
        </w:rPr>
        <w:t>（4）以“德艺双馨”为核心，坚持文艺为人民服务、为社会主义服务的方向，热爱文化艺术事业，具有良好的职业道德。</w:t>
      </w:r>
    </w:p>
    <w:p>
      <w:pPr>
        <w:spacing w:line="440" w:lineRule="exact"/>
        <w:ind w:firstLine="480" w:firstLineChars="200"/>
        <w:rPr>
          <w:rFonts w:ascii="宋体" w:hAnsi="宋体" w:cs="宋体"/>
          <w:sz w:val="24"/>
          <w:szCs w:val="24"/>
        </w:rPr>
      </w:pPr>
      <w:r>
        <w:rPr>
          <w:rFonts w:hint="eastAsia" w:ascii="宋体" w:hAnsi="宋体" w:cs="宋体"/>
          <w:sz w:val="24"/>
          <w:szCs w:val="24"/>
        </w:rPr>
        <w:t>2.基本知识、能力和素质要求</w:t>
      </w:r>
    </w:p>
    <w:p>
      <w:pPr>
        <w:spacing w:line="440" w:lineRule="exact"/>
        <w:ind w:firstLine="480" w:firstLineChars="200"/>
        <w:rPr>
          <w:rFonts w:ascii="宋体" w:hAnsi="宋体" w:cs="宋体"/>
          <w:sz w:val="24"/>
          <w:szCs w:val="24"/>
        </w:rPr>
      </w:pPr>
      <w:r>
        <w:rPr>
          <w:rFonts w:hint="eastAsia" w:ascii="宋体" w:hAnsi="宋体" w:cs="宋体"/>
          <w:sz w:val="24"/>
          <w:szCs w:val="24"/>
        </w:rPr>
        <w:t>（1）具有人文科学方面的基本知识，有相应文字和语言表达能力。</w:t>
      </w:r>
    </w:p>
    <w:p>
      <w:pPr>
        <w:spacing w:line="440" w:lineRule="exact"/>
        <w:ind w:firstLine="480" w:firstLineChars="200"/>
        <w:rPr>
          <w:rFonts w:ascii="宋体" w:hAnsi="宋体" w:cs="宋体"/>
          <w:sz w:val="24"/>
          <w:szCs w:val="24"/>
        </w:rPr>
      </w:pPr>
      <w:r>
        <w:rPr>
          <w:rFonts w:hint="eastAsia" w:ascii="宋体" w:hAnsi="宋体" w:cs="宋体"/>
          <w:sz w:val="24"/>
          <w:szCs w:val="24"/>
        </w:rPr>
        <w:t>（2）具有艺术基础知识，具有一定艺术修养和审美鉴赏力。</w:t>
      </w:r>
    </w:p>
    <w:p>
      <w:pPr>
        <w:spacing w:line="440" w:lineRule="exact"/>
        <w:ind w:firstLine="480" w:firstLineChars="200"/>
        <w:rPr>
          <w:rFonts w:ascii="宋体" w:hAnsi="宋体" w:cs="宋体"/>
          <w:sz w:val="24"/>
          <w:szCs w:val="24"/>
        </w:rPr>
      </w:pPr>
      <w:r>
        <w:rPr>
          <w:rFonts w:hint="eastAsia" w:ascii="宋体" w:hAnsi="宋体" w:cs="宋体"/>
          <w:sz w:val="24"/>
          <w:szCs w:val="24"/>
        </w:rPr>
        <w:t>（3）掌握英语基础知识，具有相应职业要求的听说读写的一般能力。</w:t>
      </w:r>
    </w:p>
    <w:p>
      <w:pPr>
        <w:spacing w:line="440" w:lineRule="exact"/>
        <w:ind w:firstLine="480" w:firstLineChars="200"/>
        <w:rPr>
          <w:rFonts w:ascii="宋体" w:hAnsi="宋体" w:cs="宋体"/>
          <w:sz w:val="24"/>
          <w:szCs w:val="24"/>
        </w:rPr>
      </w:pPr>
      <w:r>
        <w:rPr>
          <w:rFonts w:hint="eastAsia" w:ascii="宋体" w:hAnsi="宋体" w:cs="宋体"/>
          <w:sz w:val="24"/>
          <w:szCs w:val="24"/>
        </w:rPr>
        <w:t>（4）掌握计算机基本知识，具备基本计算机操作技能。</w:t>
      </w:r>
    </w:p>
    <w:p>
      <w:pPr>
        <w:spacing w:line="440" w:lineRule="exact"/>
        <w:ind w:firstLine="480" w:firstLineChars="200"/>
        <w:rPr>
          <w:rFonts w:ascii="宋体" w:hAnsi="宋体" w:cs="宋体"/>
          <w:sz w:val="24"/>
          <w:szCs w:val="24"/>
        </w:rPr>
      </w:pPr>
      <w:r>
        <w:rPr>
          <w:rFonts w:hint="eastAsia" w:ascii="宋体" w:hAnsi="宋体" w:cs="宋体"/>
          <w:sz w:val="24"/>
          <w:szCs w:val="24"/>
        </w:rPr>
        <w:t>（5）具有高度的职业责任感、踏实的作风、创新的精神、团结协作的职业素质和组织协调能力。</w:t>
      </w:r>
    </w:p>
    <w:p>
      <w:pPr>
        <w:spacing w:line="440" w:lineRule="exact"/>
        <w:ind w:firstLine="480" w:firstLineChars="200"/>
        <w:rPr>
          <w:rFonts w:ascii="宋体" w:hAnsi="宋体" w:cs="宋体"/>
          <w:sz w:val="24"/>
          <w:szCs w:val="24"/>
        </w:rPr>
      </w:pPr>
      <w:r>
        <w:rPr>
          <w:rFonts w:hint="eastAsia" w:ascii="宋体" w:hAnsi="宋体" w:cs="宋体"/>
          <w:sz w:val="24"/>
          <w:szCs w:val="24"/>
        </w:rPr>
        <w:t>3.身体、心理素质要求</w:t>
      </w:r>
    </w:p>
    <w:p>
      <w:pPr>
        <w:spacing w:line="440" w:lineRule="exact"/>
        <w:ind w:firstLine="480" w:firstLineChars="200"/>
        <w:rPr>
          <w:rFonts w:ascii="宋体" w:hAnsi="宋体" w:cs="宋体"/>
          <w:sz w:val="24"/>
          <w:szCs w:val="24"/>
        </w:rPr>
      </w:pPr>
      <w:r>
        <w:rPr>
          <w:rFonts w:hint="eastAsia" w:ascii="宋体" w:hAnsi="宋体" w:cs="宋体"/>
          <w:sz w:val="24"/>
          <w:szCs w:val="24"/>
        </w:rPr>
        <w:t>（1）了解体育运动的常识和基本知识，基本掌握锻炼身体的科学方法，养成良好的锻炼习惯，具有从事职业工作的健康体质。</w:t>
      </w:r>
    </w:p>
    <w:p>
      <w:pPr>
        <w:spacing w:line="440" w:lineRule="exact"/>
        <w:ind w:firstLine="480" w:firstLineChars="200"/>
        <w:rPr>
          <w:rFonts w:ascii="宋体" w:hAnsi="宋体" w:cs="宋体"/>
          <w:sz w:val="24"/>
          <w:szCs w:val="24"/>
        </w:rPr>
      </w:pPr>
      <w:r>
        <w:rPr>
          <w:rFonts w:hint="eastAsia" w:ascii="宋体" w:hAnsi="宋体" w:cs="宋体"/>
          <w:sz w:val="24"/>
          <w:szCs w:val="24"/>
        </w:rPr>
        <w:t>（2）了解心理健康的基本知识，具有良好的心理素质和健全的人格。</w:t>
      </w:r>
    </w:p>
    <w:p>
      <w:pPr>
        <w:spacing w:line="440" w:lineRule="exact"/>
        <w:ind w:firstLine="480" w:firstLineChars="200"/>
        <w:rPr>
          <w:rFonts w:ascii="宋体" w:hAnsi="宋体" w:cs="宋体"/>
          <w:sz w:val="24"/>
          <w:szCs w:val="24"/>
        </w:rPr>
      </w:pPr>
    </w:p>
    <w:p>
      <w:pPr>
        <w:pStyle w:val="8"/>
        <w:spacing w:before="0" w:beforeAutospacing="0" w:after="0" w:afterAutospacing="0" w:line="440" w:lineRule="exact"/>
        <w:ind w:firstLine="555"/>
        <w:rPr>
          <w:b/>
          <w:spacing w:val="-6"/>
          <w:sz w:val="28"/>
          <w:szCs w:val="28"/>
        </w:rPr>
      </w:pPr>
      <w:bookmarkStart w:id="7" w:name="_Toc419711118"/>
      <w:bookmarkStart w:id="8" w:name="_Toc423606071"/>
      <w:bookmarkStart w:id="9" w:name="_Toc419711794"/>
      <w:r>
        <w:rPr>
          <w:rFonts w:hint="eastAsia"/>
          <w:b/>
          <w:sz w:val="28"/>
          <w:szCs w:val="28"/>
        </w:rPr>
        <w:t>三、</w:t>
      </w:r>
      <w:r>
        <w:rPr>
          <w:rFonts w:hint="eastAsia"/>
          <w:b/>
          <w:spacing w:val="-6"/>
          <w:sz w:val="28"/>
          <w:szCs w:val="28"/>
        </w:rPr>
        <w:t>课程结构</w:t>
      </w:r>
    </w:p>
    <w:p>
      <w:pPr>
        <w:pStyle w:val="8"/>
        <w:spacing w:before="0" w:beforeAutospacing="0" w:after="0" w:afterAutospacing="0" w:line="440" w:lineRule="exact"/>
        <w:ind w:firstLine="480" w:firstLineChars="200"/>
      </w:pPr>
      <w:r>
        <w:rPr>
          <w:rFonts w:hint="eastAsia"/>
        </w:rPr>
        <w:t>综合素质课共分为综合素质必修课、综合素质限定选修课和综合素质任意选修课三大类，毕业最低要求修满32学分。</w:t>
      </w:r>
    </w:p>
    <w:bookmarkEnd w:id="7"/>
    <w:bookmarkEnd w:id="8"/>
    <w:bookmarkEnd w:id="9"/>
    <w:p>
      <w:pPr>
        <w:pStyle w:val="8"/>
        <w:spacing w:before="0" w:beforeAutospacing="0" w:after="0" w:afterAutospacing="0" w:line="440" w:lineRule="exact"/>
        <w:jc w:val="center"/>
      </w:pPr>
      <w:bookmarkStart w:id="10" w:name="_Toc423606072"/>
      <w:bookmarkStart w:id="11" w:name="_Toc419711119"/>
      <w:bookmarkStart w:id="12" w:name="_Toc419711795"/>
      <w:r>
        <w:rPr>
          <w:rFonts w:hint="eastAsia"/>
        </w:rPr>
        <w:t>课程结构比例表</w:t>
      </w:r>
      <w:bookmarkEnd w:id="10"/>
      <w:bookmarkEnd w:id="11"/>
      <w:bookmarkEnd w:id="12"/>
    </w:p>
    <w:tbl>
      <w:tblPr>
        <w:tblStyle w:val="5"/>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365"/>
        <w:gridCol w:w="1095"/>
        <w:gridCol w:w="885"/>
        <w:gridCol w:w="4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2" w:type="dxa"/>
            <w:gridSpan w:val="2"/>
            <w:vAlign w:val="center"/>
          </w:tcPr>
          <w:p>
            <w:pPr>
              <w:jc w:val="center"/>
              <w:rPr>
                <w:rFonts w:ascii="宋体" w:hAnsi="宋体" w:cs="宋体"/>
                <w:kern w:val="0"/>
              </w:rPr>
            </w:pPr>
            <w:r>
              <w:rPr>
                <w:rFonts w:hint="eastAsia" w:ascii="宋体" w:hAnsi="宋体" w:cs="宋体"/>
                <w:kern w:val="0"/>
              </w:rPr>
              <w:t>课程性质</w:t>
            </w:r>
          </w:p>
        </w:tc>
        <w:tc>
          <w:tcPr>
            <w:tcW w:w="1095" w:type="dxa"/>
            <w:vAlign w:val="center"/>
          </w:tcPr>
          <w:p>
            <w:pPr>
              <w:jc w:val="center"/>
              <w:rPr>
                <w:rFonts w:ascii="宋体" w:hAnsi="宋体" w:cs="宋体"/>
              </w:rPr>
            </w:pPr>
            <w:r>
              <w:rPr>
                <w:rFonts w:hint="eastAsia" w:ascii="宋体" w:hAnsi="宋体" w:cs="宋体"/>
                <w:kern w:val="0"/>
              </w:rPr>
              <w:t>学分</w:t>
            </w:r>
          </w:p>
        </w:tc>
        <w:tc>
          <w:tcPr>
            <w:tcW w:w="885" w:type="dxa"/>
            <w:vAlign w:val="center"/>
          </w:tcPr>
          <w:p>
            <w:pPr>
              <w:jc w:val="center"/>
              <w:rPr>
                <w:rFonts w:ascii="宋体" w:hAnsi="宋体" w:cs="宋体"/>
                <w:kern w:val="0"/>
              </w:rPr>
            </w:pPr>
            <w:r>
              <w:rPr>
                <w:rFonts w:hint="eastAsia" w:ascii="宋体" w:hAnsi="宋体" w:cs="宋体"/>
                <w:kern w:val="0"/>
              </w:rPr>
              <w:t>学时</w:t>
            </w:r>
          </w:p>
        </w:tc>
        <w:tc>
          <w:tcPr>
            <w:tcW w:w="4912" w:type="dxa"/>
            <w:vAlign w:val="center"/>
          </w:tcPr>
          <w:p>
            <w:pPr>
              <w:jc w:val="center"/>
              <w:rPr>
                <w:rFonts w:ascii="宋体" w:hAnsi="宋体" w:cs="宋体"/>
                <w:kern w:val="0"/>
              </w:rPr>
            </w:pPr>
            <w:r>
              <w:rPr>
                <w:rFonts w:hint="eastAsia" w:ascii="宋体" w:hAnsi="宋体" w:cs="宋体"/>
                <w:kern w:val="0"/>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vAlign w:val="center"/>
          </w:tcPr>
          <w:p>
            <w:pPr>
              <w:jc w:val="center"/>
              <w:rPr>
                <w:rFonts w:ascii="宋体" w:hAnsi="宋体" w:cs="宋体"/>
                <w:kern w:val="0"/>
                <w:highlight w:val="none"/>
              </w:rPr>
            </w:pPr>
            <w:r>
              <w:rPr>
                <w:rFonts w:hint="eastAsia" w:ascii="宋体" w:hAnsi="宋体" w:cs="宋体"/>
                <w:kern w:val="0"/>
                <w:highlight w:val="none"/>
              </w:rPr>
              <w:t>必修</w:t>
            </w:r>
          </w:p>
        </w:tc>
        <w:tc>
          <w:tcPr>
            <w:tcW w:w="1365" w:type="dxa"/>
            <w:vAlign w:val="center"/>
          </w:tcPr>
          <w:p>
            <w:pPr>
              <w:jc w:val="center"/>
              <w:rPr>
                <w:rFonts w:ascii="宋体" w:hAnsi="宋体" w:cs="宋体"/>
                <w:highlight w:val="none"/>
              </w:rPr>
            </w:pPr>
            <w:r>
              <w:rPr>
                <w:rFonts w:hint="eastAsia" w:ascii="宋体" w:hAnsi="宋体" w:cs="宋体"/>
                <w:highlight w:val="none"/>
              </w:rPr>
              <w:t>综合素质</w:t>
            </w:r>
          </w:p>
          <w:p>
            <w:pPr>
              <w:jc w:val="center"/>
              <w:rPr>
                <w:rFonts w:ascii="宋体" w:hAnsi="宋体" w:cs="宋体"/>
                <w:highlight w:val="none"/>
              </w:rPr>
            </w:pPr>
            <w:r>
              <w:rPr>
                <w:rFonts w:hint="eastAsia" w:ascii="宋体" w:hAnsi="宋体" w:cs="宋体"/>
                <w:highlight w:val="none"/>
              </w:rPr>
              <w:t>必修课</w:t>
            </w:r>
          </w:p>
        </w:tc>
        <w:tc>
          <w:tcPr>
            <w:tcW w:w="1095" w:type="dxa"/>
            <w:vAlign w:val="center"/>
          </w:tcPr>
          <w:p>
            <w:pPr>
              <w:jc w:val="center"/>
              <w:rPr>
                <w:rFonts w:ascii="宋体" w:hAnsi="宋体" w:cs="宋体"/>
                <w:highlight w:val="none"/>
              </w:rPr>
            </w:pPr>
            <w:r>
              <w:rPr>
                <w:rFonts w:hint="eastAsia" w:ascii="宋体" w:hAnsi="宋体" w:cs="宋体"/>
                <w:highlight w:val="none"/>
              </w:rPr>
              <w:t>18或16</w:t>
            </w:r>
          </w:p>
        </w:tc>
        <w:tc>
          <w:tcPr>
            <w:tcW w:w="885" w:type="dxa"/>
            <w:vAlign w:val="center"/>
          </w:tcPr>
          <w:p>
            <w:pPr>
              <w:jc w:val="center"/>
              <w:rPr>
                <w:rFonts w:ascii="宋体" w:hAnsi="宋体" w:cs="宋体"/>
                <w:kern w:val="0"/>
                <w:highlight w:val="none"/>
              </w:rPr>
            </w:pPr>
            <w:r>
              <w:rPr>
                <w:rFonts w:hint="eastAsia" w:ascii="宋体" w:hAnsi="宋体" w:cs="宋体"/>
                <w:kern w:val="0"/>
                <w:highlight w:val="none"/>
              </w:rPr>
              <w:t>406或348</w:t>
            </w:r>
          </w:p>
        </w:tc>
        <w:tc>
          <w:tcPr>
            <w:tcW w:w="4912" w:type="dxa"/>
            <w:vAlign w:val="center"/>
          </w:tcPr>
          <w:p>
            <w:pPr>
              <w:numPr>
                <w:ilvl w:val="0"/>
                <w:numId w:val="1"/>
              </w:numPr>
              <w:jc w:val="left"/>
              <w:rPr>
                <w:rFonts w:ascii="宋体" w:hAnsi="宋体" w:cs="宋体"/>
                <w:kern w:val="0"/>
                <w:sz w:val="18"/>
                <w:szCs w:val="18"/>
                <w:highlight w:val="none"/>
              </w:rPr>
            </w:pPr>
            <w:r>
              <w:rPr>
                <w:rFonts w:hint="eastAsia" w:ascii="宋体" w:hAnsi="宋体" w:cs="宋体"/>
                <w:kern w:val="0"/>
                <w:sz w:val="18"/>
                <w:szCs w:val="18"/>
                <w:highlight w:val="none"/>
              </w:rPr>
              <w:t>设体育课的专业共计18学分；</w:t>
            </w:r>
          </w:p>
          <w:p>
            <w:pPr>
              <w:numPr>
                <w:ilvl w:val="0"/>
                <w:numId w:val="1"/>
              </w:numPr>
              <w:jc w:val="left"/>
              <w:rPr>
                <w:rFonts w:ascii="宋体" w:hAnsi="宋体" w:cs="宋体"/>
                <w:kern w:val="0"/>
                <w:szCs w:val="21"/>
                <w:highlight w:val="none"/>
              </w:rPr>
            </w:pPr>
            <w:r>
              <w:rPr>
                <w:rFonts w:hint="eastAsia" w:ascii="宋体" w:hAnsi="宋体" w:cs="宋体"/>
                <w:kern w:val="0"/>
                <w:sz w:val="18"/>
                <w:szCs w:val="18"/>
                <w:highlight w:val="none"/>
              </w:rPr>
              <w:t>不设体育课的专业共计16学分。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vMerge w:val="restart"/>
            <w:vAlign w:val="center"/>
          </w:tcPr>
          <w:p>
            <w:pPr>
              <w:jc w:val="center"/>
              <w:rPr>
                <w:rFonts w:ascii="宋体" w:hAnsi="宋体" w:cs="宋体"/>
                <w:kern w:val="0"/>
                <w:highlight w:val="none"/>
              </w:rPr>
            </w:pPr>
            <w:r>
              <w:rPr>
                <w:rFonts w:hint="eastAsia" w:ascii="宋体" w:hAnsi="宋体" w:cs="宋体"/>
                <w:kern w:val="0"/>
                <w:highlight w:val="none"/>
              </w:rPr>
              <w:t>选修</w:t>
            </w:r>
          </w:p>
        </w:tc>
        <w:tc>
          <w:tcPr>
            <w:tcW w:w="1365" w:type="dxa"/>
            <w:vAlign w:val="center"/>
          </w:tcPr>
          <w:p>
            <w:pPr>
              <w:jc w:val="center"/>
              <w:rPr>
                <w:rFonts w:ascii="宋体" w:hAnsi="宋体" w:cs="宋体"/>
                <w:highlight w:val="none"/>
              </w:rPr>
            </w:pPr>
            <w:r>
              <w:rPr>
                <w:rFonts w:hint="eastAsia" w:ascii="宋体" w:hAnsi="宋体" w:cs="宋体"/>
                <w:highlight w:val="none"/>
              </w:rPr>
              <w:t>综合素质</w:t>
            </w:r>
          </w:p>
          <w:p>
            <w:pPr>
              <w:jc w:val="center"/>
              <w:rPr>
                <w:rFonts w:ascii="宋体" w:hAnsi="宋体" w:cs="宋体"/>
                <w:highlight w:val="none"/>
              </w:rPr>
            </w:pPr>
            <w:r>
              <w:rPr>
                <w:rFonts w:hint="eastAsia" w:ascii="宋体" w:hAnsi="宋体" w:cs="宋体"/>
                <w:highlight w:val="none"/>
              </w:rPr>
              <w:t>限定选修课</w:t>
            </w:r>
          </w:p>
        </w:tc>
        <w:tc>
          <w:tcPr>
            <w:tcW w:w="1095" w:type="dxa"/>
            <w:vAlign w:val="center"/>
          </w:tcPr>
          <w:p>
            <w:pPr>
              <w:jc w:val="center"/>
              <w:rPr>
                <w:rFonts w:ascii="宋体" w:hAnsi="宋体" w:cs="宋体"/>
                <w:highlight w:val="none"/>
              </w:rPr>
            </w:pPr>
            <w:r>
              <w:rPr>
                <w:rFonts w:hint="eastAsia" w:ascii="宋体" w:hAnsi="宋体" w:cs="宋体"/>
                <w:highlight w:val="none"/>
              </w:rPr>
              <w:t>4或6</w:t>
            </w:r>
          </w:p>
        </w:tc>
        <w:tc>
          <w:tcPr>
            <w:tcW w:w="885" w:type="dxa"/>
            <w:vAlign w:val="center"/>
          </w:tcPr>
          <w:p>
            <w:pPr>
              <w:jc w:val="center"/>
              <w:rPr>
                <w:rFonts w:ascii="宋体" w:hAnsi="宋体" w:cs="宋体"/>
                <w:kern w:val="0"/>
                <w:highlight w:val="none"/>
              </w:rPr>
            </w:pPr>
            <w:r>
              <w:rPr>
                <w:rFonts w:hint="eastAsia" w:ascii="宋体" w:hAnsi="宋体" w:cs="宋体"/>
                <w:kern w:val="0"/>
                <w:highlight w:val="none"/>
              </w:rPr>
              <w:t>52或78</w:t>
            </w:r>
          </w:p>
        </w:tc>
        <w:tc>
          <w:tcPr>
            <w:tcW w:w="4912" w:type="dxa"/>
            <w:vAlign w:val="center"/>
          </w:tcPr>
          <w:p>
            <w:pPr>
              <w:widowControl/>
              <w:numPr>
                <w:ilvl w:val="0"/>
                <w:numId w:val="2"/>
              </w:numPr>
              <w:jc w:val="left"/>
              <w:rPr>
                <w:rFonts w:ascii="宋体" w:hAnsi="宋体" w:cs="宋体"/>
                <w:kern w:val="0"/>
                <w:sz w:val="18"/>
                <w:szCs w:val="18"/>
                <w:highlight w:val="none"/>
              </w:rPr>
            </w:pPr>
            <w:r>
              <w:rPr>
                <w:rFonts w:hint="eastAsia" w:ascii="宋体" w:hAnsi="宋体" w:cs="宋体"/>
                <w:kern w:val="0"/>
                <w:sz w:val="18"/>
                <w:szCs w:val="18"/>
                <w:highlight w:val="none"/>
              </w:rPr>
              <w:t>最低须修6学分（其中文史类、外语类、综合类各2学分）；</w:t>
            </w:r>
          </w:p>
          <w:p>
            <w:pPr>
              <w:widowControl/>
              <w:numPr>
                <w:ilvl w:val="0"/>
                <w:numId w:val="2"/>
              </w:numPr>
              <w:jc w:val="left"/>
              <w:rPr>
                <w:rFonts w:ascii="宋体" w:hAnsi="宋体" w:cs="宋体"/>
                <w:kern w:val="0"/>
                <w:szCs w:val="21"/>
                <w:highlight w:val="none"/>
              </w:rPr>
            </w:pPr>
            <w:r>
              <w:rPr>
                <w:rFonts w:hint="eastAsia" w:ascii="宋体" w:hAnsi="宋体" w:cs="宋体"/>
                <w:kern w:val="0"/>
                <w:sz w:val="18"/>
                <w:szCs w:val="18"/>
                <w:highlight w:val="none"/>
              </w:rPr>
              <w:t>不设计算机应用基础课的专业须修满4学分（其中文史类和外语类各2学分）。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vMerge w:val="continue"/>
            <w:vAlign w:val="center"/>
          </w:tcPr>
          <w:p>
            <w:pPr>
              <w:jc w:val="center"/>
              <w:rPr>
                <w:rFonts w:ascii="宋体" w:hAnsi="宋体" w:cs="宋体"/>
                <w:kern w:val="0"/>
                <w:highlight w:val="none"/>
              </w:rPr>
            </w:pPr>
          </w:p>
        </w:tc>
        <w:tc>
          <w:tcPr>
            <w:tcW w:w="1365" w:type="dxa"/>
            <w:vAlign w:val="center"/>
          </w:tcPr>
          <w:p>
            <w:pPr>
              <w:jc w:val="center"/>
              <w:rPr>
                <w:rFonts w:ascii="宋体" w:hAnsi="宋体" w:cs="宋体"/>
                <w:highlight w:val="none"/>
              </w:rPr>
            </w:pPr>
            <w:r>
              <w:rPr>
                <w:rFonts w:hint="eastAsia" w:ascii="宋体" w:hAnsi="宋体" w:cs="宋体"/>
                <w:highlight w:val="none"/>
              </w:rPr>
              <w:t>综合素质</w:t>
            </w:r>
          </w:p>
          <w:p>
            <w:pPr>
              <w:jc w:val="center"/>
              <w:rPr>
                <w:rFonts w:ascii="宋体" w:hAnsi="宋体" w:cs="宋体"/>
                <w:highlight w:val="none"/>
              </w:rPr>
            </w:pPr>
            <w:r>
              <w:rPr>
                <w:rFonts w:hint="eastAsia" w:ascii="宋体" w:hAnsi="宋体" w:cs="宋体"/>
                <w:highlight w:val="none"/>
              </w:rPr>
              <w:t>任意选修课</w:t>
            </w:r>
          </w:p>
        </w:tc>
        <w:tc>
          <w:tcPr>
            <w:tcW w:w="1095" w:type="dxa"/>
            <w:vAlign w:val="center"/>
          </w:tcPr>
          <w:p>
            <w:pPr>
              <w:jc w:val="center"/>
              <w:rPr>
                <w:rFonts w:ascii="宋体" w:hAnsi="宋体" w:cs="宋体"/>
                <w:kern w:val="0"/>
                <w:highlight w:val="none"/>
              </w:rPr>
            </w:pPr>
            <w:r>
              <w:rPr>
                <w:rFonts w:hint="eastAsia" w:ascii="宋体" w:hAnsi="宋体" w:cs="宋体"/>
                <w:kern w:val="0"/>
                <w:highlight w:val="none"/>
              </w:rPr>
              <w:t>8或10</w:t>
            </w:r>
          </w:p>
        </w:tc>
        <w:tc>
          <w:tcPr>
            <w:tcW w:w="885" w:type="dxa"/>
            <w:vAlign w:val="center"/>
          </w:tcPr>
          <w:p>
            <w:pPr>
              <w:jc w:val="center"/>
              <w:rPr>
                <w:rFonts w:ascii="宋体" w:hAnsi="宋体" w:cs="宋体"/>
                <w:kern w:val="0"/>
                <w:highlight w:val="none"/>
              </w:rPr>
            </w:pPr>
            <w:r>
              <w:rPr>
                <w:rFonts w:hint="eastAsia" w:ascii="宋体" w:hAnsi="宋体" w:cs="宋体"/>
                <w:kern w:val="0"/>
                <w:highlight w:val="none"/>
              </w:rPr>
              <w:t>128或160</w:t>
            </w:r>
          </w:p>
        </w:tc>
        <w:tc>
          <w:tcPr>
            <w:tcW w:w="4912" w:type="dxa"/>
            <w:vAlign w:val="center"/>
          </w:tcPr>
          <w:p>
            <w:pPr>
              <w:widowControl/>
              <w:numPr>
                <w:ilvl w:val="0"/>
                <w:numId w:val="3"/>
              </w:numPr>
              <w:jc w:val="left"/>
              <w:rPr>
                <w:rFonts w:ascii="宋体" w:hAnsi="宋体" w:cs="宋体"/>
                <w:kern w:val="0"/>
                <w:sz w:val="18"/>
                <w:szCs w:val="18"/>
                <w:highlight w:val="none"/>
              </w:rPr>
            </w:pPr>
            <w:r>
              <w:rPr>
                <w:rFonts w:hint="eastAsia" w:ascii="宋体" w:hAnsi="宋体" w:cs="宋体"/>
                <w:kern w:val="0"/>
                <w:sz w:val="18"/>
                <w:szCs w:val="18"/>
                <w:highlight w:val="none"/>
              </w:rPr>
              <w:t>最低须修8学分（其中文史类、外语类最低2学分）；</w:t>
            </w:r>
          </w:p>
          <w:p>
            <w:pPr>
              <w:widowControl/>
              <w:numPr>
                <w:ilvl w:val="0"/>
                <w:numId w:val="3"/>
              </w:numPr>
              <w:jc w:val="left"/>
              <w:rPr>
                <w:rFonts w:ascii="宋体" w:hAnsi="宋体" w:cs="宋体"/>
                <w:kern w:val="0"/>
                <w:szCs w:val="21"/>
                <w:highlight w:val="none"/>
              </w:rPr>
            </w:pPr>
            <w:r>
              <w:rPr>
                <w:rFonts w:hint="eastAsia" w:ascii="宋体" w:hAnsi="宋体" w:cs="宋体"/>
                <w:kern w:val="0"/>
                <w:sz w:val="18"/>
                <w:szCs w:val="18"/>
                <w:highlight w:val="none"/>
              </w:rPr>
              <w:t>不设体育和计算机应用基础的专业最低须修10学分（其中文史类、外语类最低2学分）；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002" w:type="dxa"/>
            <w:gridSpan w:val="2"/>
            <w:vAlign w:val="center"/>
          </w:tcPr>
          <w:p>
            <w:pPr>
              <w:jc w:val="center"/>
              <w:rPr>
                <w:rFonts w:ascii="宋体" w:hAnsi="宋体" w:cs="宋体"/>
                <w:kern w:val="0"/>
                <w:highlight w:val="none"/>
              </w:rPr>
            </w:pPr>
            <w:r>
              <w:rPr>
                <w:rFonts w:hint="eastAsia" w:ascii="宋体" w:hAnsi="宋体" w:cs="宋体"/>
                <w:kern w:val="0"/>
                <w:highlight w:val="none"/>
              </w:rPr>
              <w:t>合计</w:t>
            </w:r>
          </w:p>
        </w:tc>
        <w:tc>
          <w:tcPr>
            <w:tcW w:w="1095" w:type="dxa"/>
            <w:vAlign w:val="center"/>
          </w:tcPr>
          <w:p>
            <w:pPr>
              <w:jc w:val="center"/>
              <w:rPr>
                <w:rFonts w:ascii="宋体" w:hAnsi="宋体" w:cs="宋体"/>
                <w:highlight w:val="none"/>
              </w:rPr>
            </w:pPr>
            <w:r>
              <w:rPr>
                <w:rFonts w:hint="eastAsia" w:ascii="宋体" w:hAnsi="宋体" w:cs="宋体"/>
                <w:highlight w:val="none"/>
              </w:rPr>
              <w:t>32</w:t>
            </w:r>
          </w:p>
        </w:tc>
        <w:tc>
          <w:tcPr>
            <w:tcW w:w="885" w:type="dxa"/>
            <w:vAlign w:val="center"/>
          </w:tcPr>
          <w:p>
            <w:pPr>
              <w:jc w:val="center"/>
              <w:rPr>
                <w:rFonts w:ascii="宋体" w:hAnsi="宋体" w:cs="宋体"/>
                <w:kern w:val="0"/>
                <w:highlight w:val="none"/>
              </w:rPr>
            </w:pPr>
            <w:r>
              <w:rPr>
                <w:rFonts w:hint="eastAsia" w:ascii="宋体" w:hAnsi="宋体" w:cs="宋体"/>
                <w:kern w:val="0"/>
                <w:highlight w:val="none"/>
              </w:rPr>
              <w:t>618或612或586</w:t>
            </w:r>
          </w:p>
        </w:tc>
        <w:tc>
          <w:tcPr>
            <w:tcW w:w="4912" w:type="dxa"/>
            <w:vAlign w:val="center"/>
          </w:tcPr>
          <w:p>
            <w:pPr>
              <w:jc w:val="center"/>
              <w:rPr>
                <w:rFonts w:ascii="宋体" w:hAnsi="宋体" w:cs="宋体"/>
                <w:kern w:val="0"/>
                <w:highlight w:val="none"/>
              </w:rPr>
            </w:pPr>
          </w:p>
        </w:tc>
      </w:tr>
    </w:tbl>
    <w:p>
      <w:pPr>
        <w:pStyle w:val="8"/>
        <w:spacing w:before="0" w:beforeAutospacing="0" w:after="0" w:afterAutospacing="0" w:line="440" w:lineRule="exact"/>
        <w:ind w:firstLine="555"/>
        <w:rPr>
          <w:rFonts w:hint="eastAsia"/>
          <w:b/>
          <w:spacing w:val="-6"/>
          <w:sz w:val="28"/>
          <w:szCs w:val="28"/>
          <w:highlight w:val="none"/>
        </w:rPr>
      </w:pPr>
      <w:bookmarkStart w:id="13" w:name="_Toc419711796"/>
      <w:bookmarkStart w:id="14" w:name="_Toc423606073"/>
      <w:bookmarkStart w:id="15" w:name="_Toc419711120"/>
      <w:r>
        <w:rPr>
          <w:rFonts w:hint="eastAsia"/>
          <w:b/>
          <w:spacing w:val="-6"/>
          <w:sz w:val="28"/>
          <w:szCs w:val="28"/>
          <w:highlight w:val="none"/>
        </w:rPr>
        <w:t>四、教学进程表</w:t>
      </w:r>
      <w:bookmarkEnd w:id="13"/>
      <w:bookmarkEnd w:id="14"/>
      <w:bookmarkEnd w:id="15"/>
      <w:r>
        <w:rPr>
          <w:rFonts w:hint="eastAsia"/>
          <w:b/>
          <w:spacing w:val="-6"/>
          <w:sz w:val="28"/>
          <w:szCs w:val="28"/>
          <w:highlight w:val="none"/>
        </w:rPr>
        <w:t>（见附表）</w:t>
      </w:r>
    </w:p>
    <w:p>
      <w:pPr>
        <w:pStyle w:val="8"/>
        <w:spacing w:before="0" w:beforeAutospacing="0" w:after="0" w:afterAutospacing="0" w:line="440" w:lineRule="exact"/>
        <w:ind w:firstLine="555"/>
        <w:rPr>
          <w:b/>
          <w:spacing w:val="-6"/>
          <w:sz w:val="28"/>
          <w:szCs w:val="28"/>
          <w:highlight w:val="none"/>
        </w:rPr>
      </w:pPr>
      <w:bookmarkStart w:id="16" w:name="_Toc419711797"/>
      <w:bookmarkStart w:id="17" w:name="_Toc423606074"/>
      <w:bookmarkStart w:id="18" w:name="_Toc419711121"/>
      <w:r>
        <w:rPr>
          <w:rFonts w:hint="eastAsia"/>
          <w:b/>
          <w:spacing w:val="-6"/>
          <w:sz w:val="28"/>
          <w:szCs w:val="28"/>
          <w:highlight w:val="none"/>
        </w:rPr>
        <w:t>五、必要的说明</w:t>
      </w:r>
      <w:bookmarkEnd w:id="16"/>
      <w:bookmarkEnd w:id="17"/>
      <w:bookmarkEnd w:id="18"/>
    </w:p>
    <w:p>
      <w:pPr>
        <w:pStyle w:val="8"/>
        <w:spacing w:before="0" w:beforeAutospacing="0" w:after="0" w:afterAutospacing="0" w:line="440" w:lineRule="exact"/>
        <w:ind w:firstLine="480" w:firstLineChars="200"/>
        <w:rPr>
          <w:highlight w:val="none"/>
        </w:rPr>
      </w:pPr>
      <w:r>
        <w:rPr>
          <w:rFonts w:hint="eastAsia"/>
          <w:highlight w:val="none"/>
        </w:rPr>
        <w:t>1.本教学计划本着实用为主、够用为度的原则修订，旨在提高学生的综合文化素养。</w:t>
      </w:r>
    </w:p>
    <w:p>
      <w:pPr>
        <w:pStyle w:val="8"/>
        <w:spacing w:before="0" w:beforeAutospacing="0" w:after="0" w:afterAutospacing="0" w:line="440" w:lineRule="exact"/>
        <w:ind w:firstLine="480" w:firstLineChars="200"/>
        <w:rPr>
          <w:highlight w:val="none"/>
        </w:rPr>
      </w:pPr>
      <w:r>
        <w:rPr>
          <w:rFonts w:hint="eastAsia"/>
          <w:highlight w:val="none"/>
        </w:rPr>
        <w:t>2.关于英语、计算机等级证书的说明：在未修相应课程前，已经取得浙江省计算机一级等级证书、大学英语四级级或六级证书及以上的、专升本录取通知书的，可以免修相应课程并获取学分。</w:t>
      </w:r>
    </w:p>
    <w:p>
      <w:pPr>
        <w:pStyle w:val="8"/>
        <w:spacing w:before="0" w:beforeAutospacing="0" w:after="0" w:afterAutospacing="0" w:line="440" w:lineRule="exact"/>
        <w:ind w:firstLine="480" w:firstLineChars="200"/>
        <w:rPr>
          <w:highlight w:val="none"/>
        </w:rPr>
      </w:pPr>
      <w:r>
        <w:rPr>
          <w:rFonts w:hint="eastAsia"/>
          <w:highlight w:val="none"/>
        </w:rPr>
        <w:t>3.关于考核、毕业</w:t>
      </w:r>
    </w:p>
    <w:p>
      <w:pPr>
        <w:pStyle w:val="8"/>
        <w:spacing w:before="0" w:beforeAutospacing="0" w:after="0" w:afterAutospacing="0" w:line="440" w:lineRule="exact"/>
        <w:ind w:firstLine="480" w:firstLineChars="200"/>
        <w:rPr>
          <w:highlight w:val="none"/>
        </w:rPr>
      </w:pPr>
      <w:r>
        <w:rPr>
          <w:rFonts w:hint="eastAsia"/>
          <w:highlight w:val="none"/>
        </w:rPr>
        <w:t>（1）学生每年必须参加体质健康标准测试，并在毕业前达到及格标准。</w:t>
      </w:r>
    </w:p>
    <w:p>
      <w:pPr>
        <w:pStyle w:val="8"/>
        <w:spacing w:before="0" w:beforeAutospacing="0" w:after="0" w:afterAutospacing="0" w:line="440" w:lineRule="exact"/>
        <w:ind w:firstLine="480" w:firstLineChars="200"/>
        <w:rPr>
          <w:highlight w:val="none"/>
        </w:rPr>
      </w:pPr>
      <w:r>
        <w:rPr>
          <w:rFonts w:hint="eastAsia"/>
          <w:highlight w:val="none"/>
        </w:rPr>
        <w:t>（2）学生必须在毕业前达到教学计划中规定的毕业最低学分限额和各类课程须修满的学分数。为了保证知识结构的合理性，所有必修课程的学分不能互相替代。学生选修总学分数即使已经达到毕业规定的最低学分要求，但只要某类课程的学分数不足，均不能取得毕业资格。</w:t>
      </w:r>
    </w:p>
    <w:p>
      <w:pPr>
        <w:pStyle w:val="8"/>
        <w:spacing w:before="0" w:beforeAutospacing="0" w:after="0" w:afterAutospacing="0" w:line="440" w:lineRule="exact"/>
        <w:ind w:firstLine="480" w:firstLineChars="200"/>
        <w:rPr>
          <w:highlight w:val="none"/>
        </w:rPr>
      </w:pPr>
    </w:p>
    <w:p>
      <w:pPr>
        <w:pStyle w:val="8"/>
        <w:spacing w:before="0" w:beforeAutospacing="0" w:after="0" w:afterAutospacing="0" w:line="440" w:lineRule="exact"/>
        <w:ind w:firstLine="480" w:firstLineChars="200"/>
        <w:rPr>
          <w:rFonts w:hint="eastAsia"/>
          <w:highlight w:val="none"/>
        </w:rPr>
      </w:pPr>
    </w:p>
    <w:p>
      <w:pPr>
        <w:pStyle w:val="8"/>
        <w:spacing w:before="0" w:beforeAutospacing="0" w:after="0" w:afterAutospacing="0" w:line="440" w:lineRule="exact"/>
        <w:rPr>
          <w:sz w:val="32"/>
          <w:szCs w:val="32"/>
          <w:highlight w:val="none"/>
        </w:rPr>
      </w:pPr>
      <w:r>
        <w:rPr>
          <w:rFonts w:hint="eastAsia"/>
          <w:highlight w:val="none"/>
        </w:rPr>
        <w:t>附表：教学进程表</w:t>
      </w:r>
    </w:p>
    <w:tbl>
      <w:tblPr>
        <w:tblStyle w:val="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95"/>
        <w:gridCol w:w="68"/>
        <w:gridCol w:w="507"/>
        <w:gridCol w:w="1725"/>
        <w:gridCol w:w="350"/>
        <w:gridCol w:w="401"/>
        <w:gridCol w:w="477"/>
        <w:gridCol w:w="412"/>
        <w:gridCol w:w="425"/>
        <w:gridCol w:w="598"/>
        <w:gridCol w:w="650"/>
        <w:gridCol w:w="612"/>
        <w:gridCol w:w="663"/>
        <w:gridCol w:w="587"/>
        <w:gridCol w:w="638"/>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20" w:type="dxa"/>
            <w:vMerge w:val="restart"/>
            <w:tcBorders>
              <w:top w:val="single" w:color="auto" w:sz="4" w:space="0"/>
            </w:tcBorders>
            <w:vAlign w:val="center"/>
          </w:tcPr>
          <w:p>
            <w:pPr>
              <w:spacing w:line="240" w:lineRule="exact"/>
              <w:jc w:val="center"/>
              <w:rPr>
                <w:rFonts w:ascii="宋体" w:hAnsi="宋体" w:cs="宋体"/>
                <w:sz w:val="18"/>
                <w:szCs w:val="18"/>
                <w:highlight w:val="none"/>
              </w:rPr>
            </w:pPr>
          </w:p>
          <w:p>
            <w:pPr>
              <w:spacing w:line="240" w:lineRule="exact"/>
              <w:jc w:val="center"/>
              <w:rPr>
                <w:rFonts w:ascii="宋体" w:hAnsi="宋体" w:cs="宋体"/>
                <w:sz w:val="18"/>
                <w:szCs w:val="18"/>
                <w:highlight w:val="none"/>
              </w:rPr>
            </w:pPr>
            <w:r>
              <w:rPr>
                <w:rFonts w:hint="eastAsia" w:ascii="宋体" w:hAnsi="宋体" w:cs="宋体"/>
                <w:sz w:val="18"/>
                <w:szCs w:val="18"/>
                <w:highlight w:val="none"/>
              </w:rPr>
              <w:t>课程</w:t>
            </w:r>
          </w:p>
          <w:p>
            <w:pPr>
              <w:spacing w:line="240" w:lineRule="exact"/>
              <w:jc w:val="center"/>
              <w:rPr>
                <w:rFonts w:ascii="宋体" w:hAnsi="宋体" w:cs="宋体"/>
                <w:sz w:val="18"/>
                <w:szCs w:val="18"/>
                <w:highlight w:val="none"/>
              </w:rPr>
            </w:pPr>
            <w:r>
              <w:rPr>
                <w:rFonts w:hint="eastAsia" w:ascii="宋体" w:hAnsi="宋体" w:cs="宋体"/>
                <w:sz w:val="18"/>
                <w:szCs w:val="18"/>
                <w:highlight w:val="none"/>
              </w:rPr>
              <w:t>性质</w:t>
            </w:r>
          </w:p>
        </w:tc>
        <w:tc>
          <w:tcPr>
            <w:tcW w:w="495" w:type="dxa"/>
            <w:vMerge w:val="restart"/>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2300" w:type="dxa"/>
            <w:gridSpan w:val="3"/>
            <w:vMerge w:val="restart"/>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课程名称</w:t>
            </w:r>
          </w:p>
        </w:tc>
        <w:tc>
          <w:tcPr>
            <w:tcW w:w="350" w:type="dxa"/>
            <w:vMerge w:val="restart"/>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课程类型</w:t>
            </w:r>
          </w:p>
        </w:tc>
        <w:tc>
          <w:tcPr>
            <w:tcW w:w="401" w:type="dxa"/>
            <w:vMerge w:val="restart"/>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课程学分</w:t>
            </w:r>
          </w:p>
        </w:tc>
        <w:tc>
          <w:tcPr>
            <w:tcW w:w="1314" w:type="dxa"/>
            <w:gridSpan w:val="3"/>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计划学时数</w:t>
            </w:r>
          </w:p>
        </w:tc>
        <w:tc>
          <w:tcPr>
            <w:tcW w:w="598" w:type="dxa"/>
            <w:vMerge w:val="restart"/>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考核方式</w:t>
            </w:r>
          </w:p>
        </w:tc>
        <w:tc>
          <w:tcPr>
            <w:tcW w:w="3762" w:type="dxa"/>
            <w:gridSpan w:val="6"/>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课堂教学周课时数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8"/>
                <w:szCs w:val="18"/>
                <w:highlight w:val="none"/>
              </w:rPr>
            </w:pPr>
          </w:p>
        </w:tc>
        <w:tc>
          <w:tcPr>
            <w:tcW w:w="495" w:type="dxa"/>
            <w:vMerge w:val="continue"/>
            <w:vAlign w:val="center"/>
          </w:tcPr>
          <w:p>
            <w:pPr>
              <w:spacing w:line="240" w:lineRule="exact"/>
              <w:jc w:val="center"/>
              <w:rPr>
                <w:rFonts w:ascii="宋体" w:hAnsi="宋体" w:cs="宋体"/>
                <w:sz w:val="18"/>
                <w:szCs w:val="18"/>
                <w:highlight w:val="none"/>
              </w:rPr>
            </w:pPr>
          </w:p>
        </w:tc>
        <w:tc>
          <w:tcPr>
            <w:tcW w:w="2300" w:type="dxa"/>
            <w:gridSpan w:val="3"/>
            <w:vMerge w:val="continue"/>
            <w:vAlign w:val="center"/>
          </w:tcPr>
          <w:p>
            <w:pPr>
              <w:spacing w:line="240" w:lineRule="exact"/>
              <w:jc w:val="center"/>
              <w:rPr>
                <w:rFonts w:ascii="宋体" w:hAnsi="宋体" w:cs="宋体"/>
                <w:sz w:val="18"/>
                <w:szCs w:val="18"/>
                <w:highlight w:val="none"/>
              </w:rPr>
            </w:pPr>
          </w:p>
        </w:tc>
        <w:tc>
          <w:tcPr>
            <w:tcW w:w="350" w:type="dxa"/>
            <w:vMerge w:val="continue"/>
            <w:vAlign w:val="center"/>
          </w:tcPr>
          <w:p>
            <w:pPr>
              <w:spacing w:line="240" w:lineRule="exact"/>
              <w:jc w:val="center"/>
              <w:rPr>
                <w:rFonts w:ascii="宋体" w:hAnsi="宋体" w:cs="宋体"/>
                <w:sz w:val="18"/>
                <w:szCs w:val="18"/>
                <w:highlight w:val="none"/>
              </w:rPr>
            </w:pPr>
          </w:p>
        </w:tc>
        <w:tc>
          <w:tcPr>
            <w:tcW w:w="401" w:type="dxa"/>
            <w:vMerge w:val="continue"/>
            <w:vAlign w:val="center"/>
          </w:tcPr>
          <w:p>
            <w:pPr>
              <w:spacing w:line="240" w:lineRule="exact"/>
              <w:jc w:val="center"/>
              <w:rPr>
                <w:rFonts w:ascii="宋体" w:hAnsi="宋体" w:cs="宋体"/>
                <w:sz w:val="18"/>
                <w:szCs w:val="18"/>
                <w:highlight w:val="none"/>
              </w:rPr>
            </w:pPr>
          </w:p>
        </w:tc>
        <w:tc>
          <w:tcPr>
            <w:tcW w:w="477" w:type="dxa"/>
            <w:vMerge w:val="restart"/>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共计</w:t>
            </w:r>
          </w:p>
        </w:tc>
        <w:tc>
          <w:tcPr>
            <w:tcW w:w="837" w:type="dxa"/>
            <w:gridSpan w:val="2"/>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其中</w:t>
            </w:r>
          </w:p>
        </w:tc>
        <w:tc>
          <w:tcPr>
            <w:tcW w:w="598" w:type="dxa"/>
            <w:vMerge w:val="continue"/>
            <w:vAlign w:val="center"/>
          </w:tcPr>
          <w:p>
            <w:pPr>
              <w:spacing w:line="240" w:lineRule="exact"/>
              <w:jc w:val="center"/>
              <w:rPr>
                <w:rFonts w:ascii="宋体" w:hAnsi="宋体" w:cs="宋体"/>
                <w:sz w:val="18"/>
                <w:szCs w:val="18"/>
                <w:highlight w:val="none"/>
              </w:rPr>
            </w:pPr>
          </w:p>
        </w:tc>
        <w:tc>
          <w:tcPr>
            <w:tcW w:w="650" w:type="dxa"/>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一</w:t>
            </w:r>
          </w:p>
        </w:tc>
        <w:tc>
          <w:tcPr>
            <w:tcW w:w="612" w:type="dxa"/>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二</w:t>
            </w:r>
          </w:p>
        </w:tc>
        <w:tc>
          <w:tcPr>
            <w:tcW w:w="663" w:type="dxa"/>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三</w:t>
            </w:r>
          </w:p>
        </w:tc>
        <w:tc>
          <w:tcPr>
            <w:tcW w:w="587" w:type="dxa"/>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四</w:t>
            </w:r>
          </w:p>
        </w:tc>
        <w:tc>
          <w:tcPr>
            <w:tcW w:w="638" w:type="dxa"/>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五</w:t>
            </w:r>
          </w:p>
        </w:tc>
        <w:tc>
          <w:tcPr>
            <w:tcW w:w="612" w:type="dxa"/>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520" w:type="dxa"/>
            <w:vMerge w:val="continue"/>
            <w:vAlign w:val="center"/>
          </w:tcPr>
          <w:p>
            <w:pPr>
              <w:spacing w:line="240" w:lineRule="exact"/>
              <w:jc w:val="center"/>
              <w:rPr>
                <w:rFonts w:ascii="宋体" w:hAnsi="宋体" w:cs="宋体"/>
                <w:sz w:val="18"/>
                <w:szCs w:val="18"/>
                <w:highlight w:val="none"/>
              </w:rPr>
            </w:pPr>
          </w:p>
        </w:tc>
        <w:tc>
          <w:tcPr>
            <w:tcW w:w="495" w:type="dxa"/>
            <w:vMerge w:val="continue"/>
            <w:vAlign w:val="center"/>
          </w:tcPr>
          <w:p>
            <w:pPr>
              <w:widowControl/>
              <w:spacing w:line="240" w:lineRule="exact"/>
              <w:jc w:val="center"/>
              <w:rPr>
                <w:rFonts w:ascii="宋体" w:hAnsi="宋体" w:cs="宋体"/>
                <w:sz w:val="18"/>
                <w:szCs w:val="18"/>
                <w:highlight w:val="none"/>
              </w:rPr>
            </w:pPr>
          </w:p>
        </w:tc>
        <w:tc>
          <w:tcPr>
            <w:tcW w:w="2300" w:type="dxa"/>
            <w:gridSpan w:val="3"/>
            <w:vMerge w:val="continue"/>
            <w:vAlign w:val="center"/>
          </w:tcPr>
          <w:p>
            <w:pPr>
              <w:spacing w:line="240" w:lineRule="exact"/>
              <w:jc w:val="center"/>
              <w:rPr>
                <w:rFonts w:ascii="宋体" w:hAnsi="宋体" w:cs="宋体"/>
                <w:sz w:val="18"/>
                <w:szCs w:val="18"/>
                <w:highlight w:val="none"/>
              </w:rPr>
            </w:pPr>
          </w:p>
        </w:tc>
        <w:tc>
          <w:tcPr>
            <w:tcW w:w="350" w:type="dxa"/>
            <w:vMerge w:val="continue"/>
            <w:vAlign w:val="center"/>
          </w:tcPr>
          <w:p>
            <w:pPr>
              <w:spacing w:line="240" w:lineRule="exact"/>
              <w:jc w:val="center"/>
              <w:rPr>
                <w:rFonts w:ascii="宋体" w:hAnsi="宋体" w:cs="宋体"/>
                <w:sz w:val="18"/>
                <w:szCs w:val="18"/>
                <w:highlight w:val="none"/>
              </w:rPr>
            </w:pPr>
          </w:p>
        </w:tc>
        <w:tc>
          <w:tcPr>
            <w:tcW w:w="401" w:type="dxa"/>
            <w:vMerge w:val="continue"/>
            <w:vAlign w:val="center"/>
          </w:tcPr>
          <w:p>
            <w:pPr>
              <w:spacing w:line="240" w:lineRule="exact"/>
              <w:jc w:val="center"/>
              <w:rPr>
                <w:rFonts w:ascii="宋体" w:hAnsi="宋体" w:cs="宋体"/>
                <w:sz w:val="18"/>
                <w:szCs w:val="18"/>
                <w:highlight w:val="none"/>
              </w:rPr>
            </w:pPr>
          </w:p>
        </w:tc>
        <w:tc>
          <w:tcPr>
            <w:tcW w:w="477" w:type="dxa"/>
            <w:vMerge w:val="continue"/>
            <w:vAlign w:val="center"/>
          </w:tcPr>
          <w:p>
            <w:pPr>
              <w:spacing w:line="240" w:lineRule="exact"/>
              <w:jc w:val="center"/>
              <w:rPr>
                <w:rFonts w:ascii="宋体" w:hAnsi="宋体" w:cs="宋体"/>
                <w:sz w:val="18"/>
                <w:szCs w:val="18"/>
                <w:highlight w:val="none"/>
              </w:rPr>
            </w:pPr>
          </w:p>
        </w:tc>
        <w:tc>
          <w:tcPr>
            <w:tcW w:w="412" w:type="dxa"/>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理论</w:t>
            </w:r>
          </w:p>
        </w:tc>
        <w:tc>
          <w:tcPr>
            <w:tcW w:w="425" w:type="dxa"/>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实践</w:t>
            </w:r>
          </w:p>
        </w:tc>
        <w:tc>
          <w:tcPr>
            <w:tcW w:w="598" w:type="dxa"/>
            <w:vMerge w:val="continue"/>
            <w:vAlign w:val="center"/>
          </w:tcPr>
          <w:p>
            <w:pPr>
              <w:spacing w:line="240" w:lineRule="exact"/>
              <w:jc w:val="center"/>
              <w:rPr>
                <w:rFonts w:ascii="宋体" w:hAnsi="宋体" w:cs="宋体"/>
                <w:sz w:val="18"/>
                <w:szCs w:val="18"/>
                <w:highlight w:val="none"/>
              </w:rPr>
            </w:pPr>
          </w:p>
        </w:tc>
        <w:tc>
          <w:tcPr>
            <w:tcW w:w="650" w:type="dxa"/>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13周</w:t>
            </w:r>
          </w:p>
        </w:tc>
        <w:tc>
          <w:tcPr>
            <w:tcW w:w="612" w:type="dxa"/>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16周</w:t>
            </w:r>
          </w:p>
        </w:tc>
        <w:tc>
          <w:tcPr>
            <w:tcW w:w="663" w:type="dxa"/>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16周</w:t>
            </w:r>
          </w:p>
        </w:tc>
        <w:tc>
          <w:tcPr>
            <w:tcW w:w="587" w:type="dxa"/>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16周</w:t>
            </w:r>
          </w:p>
        </w:tc>
        <w:tc>
          <w:tcPr>
            <w:tcW w:w="638" w:type="dxa"/>
            <w:vAlign w:val="center"/>
          </w:tcPr>
          <w:p>
            <w:pPr>
              <w:spacing w:line="240" w:lineRule="exact"/>
              <w:jc w:val="center"/>
              <w:rPr>
                <w:rFonts w:ascii="宋体" w:hAnsi="宋体" w:cs="宋体"/>
                <w:spacing w:val="-24"/>
                <w:sz w:val="18"/>
                <w:szCs w:val="18"/>
                <w:highlight w:val="none"/>
              </w:rPr>
            </w:pPr>
            <w:r>
              <w:rPr>
                <w:rFonts w:hint="eastAsia" w:ascii="宋体" w:hAnsi="宋体" w:cs="宋体"/>
                <w:sz w:val="18"/>
                <w:szCs w:val="18"/>
                <w:highlight w:val="none"/>
              </w:rPr>
              <w:t>16周</w:t>
            </w:r>
          </w:p>
        </w:tc>
        <w:tc>
          <w:tcPr>
            <w:tcW w:w="612" w:type="dxa"/>
            <w:vAlign w:val="center"/>
          </w:tcPr>
          <w:p>
            <w:pPr>
              <w:widowControl/>
              <w:spacing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restart"/>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综合素质必修课</w:t>
            </w:r>
          </w:p>
        </w:tc>
        <w:tc>
          <w:tcPr>
            <w:tcW w:w="49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w:t>
            </w:r>
          </w:p>
        </w:tc>
        <w:tc>
          <w:tcPr>
            <w:tcW w:w="2300" w:type="dxa"/>
            <w:gridSpan w:val="3"/>
            <w:vAlign w:val="center"/>
          </w:tcPr>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毛泽东思想和中国特色社会主义理论体系概论（一）</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26</w:t>
            </w:r>
          </w:p>
        </w:tc>
        <w:tc>
          <w:tcPr>
            <w:tcW w:w="425"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6</w:t>
            </w:r>
          </w:p>
        </w:tc>
        <w:tc>
          <w:tcPr>
            <w:tcW w:w="598"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开卷考试</w:t>
            </w:r>
          </w:p>
        </w:tc>
        <w:tc>
          <w:tcPr>
            <w:tcW w:w="650"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612" w:type="dxa"/>
            <w:shd w:val="clear" w:color="FFFFFF" w:themeColor="background1" w:fill="auto"/>
            <w:vAlign w:val="center"/>
          </w:tcPr>
          <w:p>
            <w:pPr>
              <w:spacing w:line="240" w:lineRule="exact"/>
              <w:jc w:val="center"/>
              <w:rPr>
                <w:rFonts w:ascii="宋体" w:hAnsi="宋体" w:cs="宋体"/>
                <w:sz w:val="15"/>
                <w:szCs w:val="15"/>
                <w:highlight w:val="none"/>
              </w:rPr>
            </w:pPr>
          </w:p>
        </w:tc>
        <w:tc>
          <w:tcPr>
            <w:tcW w:w="663" w:type="dxa"/>
            <w:shd w:val="clear" w:color="FFFFFF" w:themeColor="background1" w:fill="auto"/>
            <w:vAlign w:val="center"/>
          </w:tcPr>
          <w:p>
            <w:pPr>
              <w:spacing w:line="240" w:lineRule="exact"/>
              <w:jc w:val="center"/>
              <w:rPr>
                <w:rFonts w:ascii="宋体" w:hAnsi="宋体" w:cs="宋体"/>
                <w:sz w:val="15"/>
                <w:szCs w:val="15"/>
                <w:highlight w:val="none"/>
              </w:rPr>
            </w:pPr>
          </w:p>
        </w:tc>
        <w:tc>
          <w:tcPr>
            <w:tcW w:w="587" w:type="dxa"/>
            <w:shd w:val="clear" w:color="FFFFFF" w:themeColor="background1" w:fill="auto"/>
            <w:vAlign w:val="center"/>
          </w:tcPr>
          <w:p>
            <w:pPr>
              <w:spacing w:line="240" w:lineRule="exact"/>
              <w:jc w:val="center"/>
              <w:rPr>
                <w:rFonts w:ascii="宋体" w:hAnsi="宋体" w:cs="宋体"/>
                <w:sz w:val="15"/>
                <w:szCs w:val="15"/>
                <w:highlight w:val="none"/>
              </w:rPr>
            </w:pPr>
          </w:p>
        </w:tc>
        <w:tc>
          <w:tcPr>
            <w:tcW w:w="638" w:type="dxa"/>
            <w:shd w:val="clear" w:color="FFFFFF" w:themeColor="background1" w:fill="auto"/>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49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2300" w:type="dxa"/>
            <w:gridSpan w:val="3"/>
            <w:vAlign w:val="center"/>
          </w:tcPr>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毛泽东思想和中国特色社会主义理论体系概论（二）</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shd w:val="clear" w:color="FFFFFF" w:themeColor="background1" w:fill="auto"/>
            <w:vAlign w:val="center"/>
          </w:tcPr>
          <w:p>
            <w:pPr>
              <w:spacing w:line="240" w:lineRule="exact"/>
              <w:jc w:val="center"/>
              <w:rPr>
                <w:rFonts w:ascii="宋体" w:hAnsi="宋体" w:cs="宋体"/>
                <w:sz w:val="15"/>
                <w:szCs w:val="15"/>
                <w:highlight w:val="none"/>
              </w:rPr>
            </w:pPr>
          </w:p>
        </w:tc>
        <w:tc>
          <w:tcPr>
            <w:tcW w:w="598"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开卷考试</w:t>
            </w:r>
          </w:p>
        </w:tc>
        <w:tc>
          <w:tcPr>
            <w:tcW w:w="650" w:type="dxa"/>
            <w:shd w:val="clear" w:color="FFFFFF" w:themeColor="background1" w:fill="auto"/>
            <w:vAlign w:val="center"/>
          </w:tcPr>
          <w:p>
            <w:pPr>
              <w:spacing w:line="240" w:lineRule="exact"/>
              <w:jc w:val="center"/>
              <w:rPr>
                <w:rFonts w:ascii="宋体" w:hAnsi="宋体" w:cs="宋体"/>
                <w:sz w:val="15"/>
                <w:szCs w:val="15"/>
                <w:highlight w:val="none"/>
              </w:rPr>
            </w:pPr>
          </w:p>
        </w:tc>
        <w:tc>
          <w:tcPr>
            <w:tcW w:w="612"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663" w:type="dxa"/>
            <w:shd w:val="clear" w:color="FFFFFF" w:themeColor="background1" w:fill="auto"/>
            <w:vAlign w:val="center"/>
          </w:tcPr>
          <w:p>
            <w:pPr>
              <w:spacing w:line="240" w:lineRule="exact"/>
              <w:jc w:val="center"/>
              <w:rPr>
                <w:rFonts w:ascii="宋体" w:hAnsi="宋体" w:cs="宋体"/>
                <w:sz w:val="15"/>
                <w:szCs w:val="15"/>
                <w:highlight w:val="none"/>
              </w:rPr>
            </w:pPr>
          </w:p>
        </w:tc>
        <w:tc>
          <w:tcPr>
            <w:tcW w:w="587" w:type="dxa"/>
            <w:shd w:val="clear" w:color="FFFFFF" w:themeColor="background1" w:fill="auto"/>
            <w:vAlign w:val="center"/>
          </w:tcPr>
          <w:p>
            <w:pPr>
              <w:spacing w:line="240" w:lineRule="exact"/>
              <w:jc w:val="center"/>
              <w:rPr>
                <w:rFonts w:ascii="宋体" w:hAnsi="宋体" w:cs="宋体"/>
                <w:sz w:val="15"/>
                <w:szCs w:val="15"/>
                <w:highlight w:val="none"/>
              </w:rPr>
            </w:pPr>
          </w:p>
        </w:tc>
        <w:tc>
          <w:tcPr>
            <w:tcW w:w="638" w:type="dxa"/>
            <w:shd w:val="clear" w:color="FFFFFF" w:themeColor="background1" w:fill="auto"/>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49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w:t>
            </w:r>
          </w:p>
        </w:tc>
        <w:tc>
          <w:tcPr>
            <w:tcW w:w="2300" w:type="dxa"/>
            <w:gridSpan w:val="3"/>
            <w:vAlign w:val="center"/>
          </w:tcPr>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思想道德修养与法律基础（一）</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Merge w:val="restart"/>
            <w:vAlign w:val="center"/>
          </w:tcPr>
          <w:p>
            <w:pPr>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3</w:t>
            </w:r>
          </w:p>
        </w:tc>
        <w:tc>
          <w:tcPr>
            <w:tcW w:w="477"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26</w:t>
            </w:r>
          </w:p>
        </w:tc>
        <w:tc>
          <w:tcPr>
            <w:tcW w:w="412"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26</w:t>
            </w:r>
          </w:p>
        </w:tc>
        <w:tc>
          <w:tcPr>
            <w:tcW w:w="425" w:type="dxa"/>
            <w:shd w:val="clear" w:color="FFFFFF" w:themeColor="background1" w:fill="auto"/>
            <w:vAlign w:val="center"/>
          </w:tcPr>
          <w:p>
            <w:pPr>
              <w:spacing w:line="240" w:lineRule="exact"/>
              <w:jc w:val="center"/>
              <w:rPr>
                <w:rFonts w:ascii="宋体" w:hAnsi="宋体" w:cs="宋体"/>
                <w:sz w:val="15"/>
                <w:szCs w:val="15"/>
                <w:highlight w:val="none"/>
              </w:rPr>
            </w:pPr>
          </w:p>
        </w:tc>
        <w:tc>
          <w:tcPr>
            <w:tcW w:w="598"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开卷考试</w:t>
            </w:r>
          </w:p>
        </w:tc>
        <w:tc>
          <w:tcPr>
            <w:tcW w:w="650"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612" w:type="dxa"/>
            <w:shd w:val="clear" w:color="FFFFFF" w:themeColor="background1" w:fill="auto"/>
            <w:vAlign w:val="center"/>
          </w:tcPr>
          <w:p>
            <w:pPr>
              <w:spacing w:line="240" w:lineRule="exact"/>
              <w:jc w:val="center"/>
              <w:rPr>
                <w:rFonts w:ascii="宋体" w:hAnsi="宋体" w:cs="宋体"/>
                <w:sz w:val="15"/>
                <w:szCs w:val="15"/>
                <w:highlight w:val="none"/>
              </w:rPr>
            </w:pPr>
          </w:p>
        </w:tc>
        <w:tc>
          <w:tcPr>
            <w:tcW w:w="663" w:type="dxa"/>
            <w:shd w:val="clear" w:color="FFFFFF" w:themeColor="background1" w:fill="auto"/>
            <w:vAlign w:val="center"/>
          </w:tcPr>
          <w:p>
            <w:pPr>
              <w:spacing w:line="240" w:lineRule="exact"/>
              <w:jc w:val="center"/>
              <w:rPr>
                <w:rFonts w:ascii="宋体" w:hAnsi="宋体" w:cs="宋体"/>
                <w:sz w:val="15"/>
                <w:szCs w:val="15"/>
                <w:highlight w:val="none"/>
              </w:rPr>
            </w:pPr>
          </w:p>
        </w:tc>
        <w:tc>
          <w:tcPr>
            <w:tcW w:w="587" w:type="dxa"/>
            <w:shd w:val="clear" w:color="FFFFFF" w:themeColor="background1" w:fill="auto"/>
            <w:vAlign w:val="center"/>
          </w:tcPr>
          <w:p>
            <w:pPr>
              <w:spacing w:line="240" w:lineRule="exact"/>
              <w:jc w:val="center"/>
              <w:rPr>
                <w:rFonts w:ascii="宋体" w:hAnsi="宋体" w:cs="宋体"/>
                <w:sz w:val="15"/>
                <w:szCs w:val="15"/>
                <w:highlight w:val="none"/>
              </w:rPr>
            </w:pPr>
          </w:p>
        </w:tc>
        <w:tc>
          <w:tcPr>
            <w:tcW w:w="638" w:type="dxa"/>
            <w:shd w:val="clear" w:color="FFFFFF" w:themeColor="background1" w:fill="auto"/>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49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4</w:t>
            </w:r>
          </w:p>
        </w:tc>
        <w:tc>
          <w:tcPr>
            <w:tcW w:w="2300" w:type="dxa"/>
            <w:gridSpan w:val="3"/>
            <w:vAlign w:val="center"/>
          </w:tcPr>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思想道德修养与法律基础（二）</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Merge w:val="continue"/>
            <w:vAlign w:val="center"/>
          </w:tcPr>
          <w:p>
            <w:pPr>
              <w:widowControl/>
              <w:spacing w:line="240" w:lineRule="exact"/>
              <w:ind w:right="-141" w:rightChars="-67"/>
              <w:jc w:val="center"/>
              <w:rPr>
                <w:rFonts w:ascii="宋体" w:hAnsi="宋体" w:cs="宋体"/>
                <w:sz w:val="15"/>
                <w:szCs w:val="15"/>
                <w:highlight w:val="none"/>
              </w:rPr>
            </w:pPr>
          </w:p>
        </w:tc>
        <w:tc>
          <w:tcPr>
            <w:tcW w:w="477"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shd w:val="clear" w:color="FFFFFF" w:themeColor="background1" w:fill="auto"/>
            <w:vAlign w:val="center"/>
          </w:tcPr>
          <w:p>
            <w:pPr>
              <w:spacing w:line="240" w:lineRule="exact"/>
              <w:jc w:val="center"/>
              <w:rPr>
                <w:rFonts w:ascii="宋体" w:hAnsi="宋体" w:cs="宋体"/>
                <w:sz w:val="15"/>
                <w:szCs w:val="15"/>
                <w:highlight w:val="none"/>
              </w:rPr>
            </w:pPr>
          </w:p>
        </w:tc>
        <w:tc>
          <w:tcPr>
            <w:tcW w:w="598"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开卷考试</w:t>
            </w:r>
          </w:p>
        </w:tc>
        <w:tc>
          <w:tcPr>
            <w:tcW w:w="650" w:type="dxa"/>
            <w:shd w:val="clear" w:color="FFFFFF" w:themeColor="background1" w:fill="auto"/>
            <w:vAlign w:val="center"/>
          </w:tcPr>
          <w:p>
            <w:pPr>
              <w:spacing w:line="240" w:lineRule="exact"/>
              <w:jc w:val="center"/>
              <w:rPr>
                <w:rFonts w:ascii="宋体" w:hAnsi="宋体" w:cs="宋体"/>
                <w:sz w:val="15"/>
                <w:szCs w:val="15"/>
                <w:highlight w:val="none"/>
              </w:rPr>
            </w:pPr>
          </w:p>
        </w:tc>
        <w:tc>
          <w:tcPr>
            <w:tcW w:w="612" w:type="dxa"/>
            <w:shd w:val="clear" w:color="FFFFFF" w:themeColor="background1" w:fill="auto"/>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663" w:type="dxa"/>
            <w:shd w:val="clear" w:color="FFFFFF" w:themeColor="background1" w:fill="auto"/>
            <w:vAlign w:val="center"/>
          </w:tcPr>
          <w:p>
            <w:pPr>
              <w:spacing w:line="240" w:lineRule="exact"/>
              <w:jc w:val="center"/>
              <w:rPr>
                <w:rFonts w:ascii="宋体" w:hAnsi="宋体" w:cs="宋体"/>
                <w:sz w:val="15"/>
                <w:szCs w:val="15"/>
                <w:highlight w:val="none"/>
              </w:rPr>
            </w:pPr>
          </w:p>
        </w:tc>
        <w:tc>
          <w:tcPr>
            <w:tcW w:w="587" w:type="dxa"/>
            <w:shd w:val="clear" w:color="FFFFFF" w:themeColor="background1" w:fill="auto"/>
            <w:vAlign w:val="center"/>
          </w:tcPr>
          <w:p>
            <w:pPr>
              <w:spacing w:line="240" w:lineRule="exact"/>
              <w:jc w:val="center"/>
              <w:rPr>
                <w:rFonts w:ascii="宋体" w:hAnsi="宋体" w:cs="宋体"/>
                <w:sz w:val="15"/>
                <w:szCs w:val="15"/>
                <w:highlight w:val="none"/>
              </w:rPr>
            </w:pPr>
          </w:p>
        </w:tc>
        <w:tc>
          <w:tcPr>
            <w:tcW w:w="638" w:type="dxa"/>
            <w:shd w:val="clear" w:color="FFFFFF" w:themeColor="background1" w:fill="auto"/>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49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5</w:t>
            </w:r>
          </w:p>
        </w:tc>
        <w:tc>
          <w:tcPr>
            <w:tcW w:w="2300" w:type="dxa"/>
            <w:gridSpan w:val="3"/>
            <w:vAlign w:val="center"/>
          </w:tcPr>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形势与政策教育*</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w:t>
            </w:r>
          </w:p>
        </w:tc>
        <w:tc>
          <w:tcPr>
            <w:tcW w:w="477" w:type="dxa"/>
            <w:shd w:val="clear" w:color="FFFFFF" w:themeColor="background1" w:fill="auto"/>
            <w:vAlign w:val="center"/>
          </w:tcPr>
          <w:p>
            <w:pPr>
              <w:spacing w:line="240" w:lineRule="exact"/>
              <w:jc w:val="center"/>
              <w:rPr>
                <w:rFonts w:hint="eastAsia" w:ascii="宋体" w:hAnsi="宋体" w:cs="宋体"/>
                <w:sz w:val="15"/>
                <w:szCs w:val="15"/>
                <w:highlight w:val="none"/>
              </w:rPr>
            </w:pPr>
            <w:r>
              <w:rPr>
                <w:rFonts w:hint="eastAsia" w:ascii="宋体" w:hAnsi="宋体" w:cs="宋体"/>
                <w:sz w:val="15"/>
                <w:szCs w:val="15"/>
                <w:highlight w:val="none"/>
              </w:rPr>
              <w:t>40</w:t>
            </w:r>
          </w:p>
        </w:tc>
        <w:tc>
          <w:tcPr>
            <w:tcW w:w="412" w:type="dxa"/>
            <w:shd w:val="clear" w:color="FFFFFF" w:themeColor="background1" w:fill="auto"/>
            <w:vAlign w:val="center"/>
          </w:tcPr>
          <w:p>
            <w:pPr>
              <w:spacing w:line="240" w:lineRule="exact"/>
              <w:jc w:val="center"/>
              <w:rPr>
                <w:rFonts w:hint="eastAsia" w:ascii="宋体" w:hAnsi="宋体" w:cs="宋体"/>
                <w:sz w:val="15"/>
                <w:szCs w:val="15"/>
                <w:highlight w:val="none"/>
              </w:rPr>
            </w:pPr>
            <w:r>
              <w:rPr>
                <w:rFonts w:hint="eastAsia" w:ascii="宋体" w:hAnsi="宋体" w:cs="宋体"/>
                <w:sz w:val="15"/>
                <w:szCs w:val="15"/>
                <w:highlight w:val="none"/>
              </w:rPr>
              <w:t>40</w:t>
            </w:r>
          </w:p>
        </w:tc>
        <w:tc>
          <w:tcPr>
            <w:tcW w:w="425" w:type="dxa"/>
            <w:shd w:val="clear" w:color="FFFFFF" w:themeColor="background1" w:fill="auto"/>
            <w:vAlign w:val="center"/>
          </w:tcPr>
          <w:p>
            <w:pPr>
              <w:spacing w:line="240" w:lineRule="exact"/>
              <w:jc w:val="center"/>
              <w:rPr>
                <w:rFonts w:hint="eastAsia" w:ascii="宋体" w:hAnsi="宋体" w:cs="宋体"/>
                <w:sz w:val="15"/>
                <w:szCs w:val="15"/>
                <w:highlight w:val="none"/>
              </w:rPr>
            </w:pPr>
            <w:r>
              <w:rPr>
                <w:rFonts w:hint="eastAsia" w:ascii="宋体" w:hAnsi="宋体" w:cs="宋体"/>
                <w:sz w:val="15"/>
                <w:szCs w:val="15"/>
                <w:highlight w:val="none"/>
              </w:rPr>
              <w:t>0</w:t>
            </w:r>
          </w:p>
        </w:tc>
        <w:tc>
          <w:tcPr>
            <w:tcW w:w="598" w:type="dxa"/>
            <w:shd w:val="clear" w:color="FFFFFF" w:themeColor="background1" w:fill="auto"/>
            <w:vAlign w:val="center"/>
          </w:tcPr>
          <w:p>
            <w:pPr>
              <w:spacing w:line="240" w:lineRule="exact"/>
              <w:jc w:val="center"/>
              <w:rPr>
                <w:rFonts w:hint="eastAsia" w:ascii="宋体" w:hAnsi="宋体" w:cs="宋体"/>
                <w:sz w:val="15"/>
                <w:szCs w:val="15"/>
                <w:highlight w:val="none"/>
              </w:rPr>
            </w:pPr>
            <w:r>
              <w:rPr>
                <w:rFonts w:hint="eastAsia" w:ascii="宋体" w:hAnsi="宋体" w:cs="宋体"/>
                <w:sz w:val="15"/>
                <w:szCs w:val="15"/>
                <w:highlight w:val="none"/>
              </w:rPr>
              <w:t>开卷考试</w:t>
            </w:r>
          </w:p>
        </w:tc>
        <w:tc>
          <w:tcPr>
            <w:tcW w:w="650" w:type="dxa"/>
            <w:shd w:val="clear" w:color="FFFFFF" w:themeColor="background1" w:fill="auto"/>
            <w:vAlign w:val="center"/>
          </w:tcPr>
          <w:p>
            <w:pPr>
              <w:spacing w:line="240" w:lineRule="exact"/>
              <w:jc w:val="center"/>
              <w:rPr>
                <w:rFonts w:hint="eastAsia" w:ascii="宋体" w:hAnsi="宋体" w:cs="宋体"/>
                <w:sz w:val="15"/>
                <w:szCs w:val="15"/>
                <w:highlight w:val="none"/>
              </w:rPr>
            </w:pPr>
            <w:r>
              <w:rPr>
                <w:rFonts w:hint="eastAsia" w:ascii="宋体" w:hAnsi="宋体" w:cs="宋体"/>
                <w:sz w:val="15"/>
                <w:szCs w:val="15"/>
                <w:highlight w:val="none"/>
              </w:rPr>
              <w:t>4*2</w:t>
            </w:r>
          </w:p>
        </w:tc>
        <w:tc>
          <w:tcPr>
            <w:tcW w:w="612" w:type="dxa"/>
            <w:shd w:val="clear" w:color="FFFFFF" w:themeColor="background1" w:fill="auto"/>
            <w:vAlign w:val="center"/>
          </w:tcPr>
          <w:p>
            <w:pPr>
              <w:spacing w:line="240" w:lineRule="exact"/>
              <w:jc w:val="center"/>
              <w:rPr>
                <w:rFonts w:hint="eastAsia" w:ascii="宋体" w:hAnsi="宋体" w:cs="宋体"/>
                <w:sz w:val="15"/>
                <w:szCs w:val="15"/>
                <w:highlight w:val="none"/>
              </w:rPr>
            </w:pPr>
            <w:r>
              <w:rPr>
                <w:rFonts w:hint="eastAsia" w:ascii="宋体" w:hAnsi="宋体" w:cs="宋体"/>
                <w:sz w:val="15"/>
                <w:szCs w:val="15"/>
                <w:highlight w:val="none"/>
              </w:rPr>
              <w:t>4*2</w:t>
            </w:r>
          </w:p>
        </w:tc>
        <w:tc>
          <w:tcPr>
            <w:tcW w:w="663" w:type="dxa"/>
            <w:shd w:val="clear" w:color="FFFFFF" w:themeColor="background1" w:fill="auto"/>
            <w:vAlign w:val="center"/>
          </w:tcPr>
          <w:p>
            <w:pPr>
              <w:spacing w:line="240" w:lineRule="exact"/>
              <w:jc w:val="center"/>
              <w:rPr>
                <w:rFonts w:hint="eastAsia" w:ascii="宋体" w:hAnsi="宋体" w:cs="宋体"/>
                <w:sz w:val="15"/>
                <w:szCs w:val="15"/>
                <w:highlight w:val="none"/>
              </w:rPr>
            </w:pPr>
            <w:r>
              <w:rPr>
                <w:rFonts w:hint="eastAsia" w:ascii="宋体" w:hAnsi="宋体" w:cs="宋体"/>
                <w:sz w:val="15"/>
                <w:szCs w:val="15"/>
                <w:highlight w:val="none"/>
              </w:rPr>
              <w:t>4*2</w:t>
            </w:r>
          </w:p>
        </w:tc>
        <w:tc>
          <w:tcPr>
            <w:tcW w:w="587" w:type="dxa"/>
            <w:shd w:val="clear" w:color="FFFFFF" w:themeColor="background1" w:fill="auto"/>
            <w:vAlign w:val="center"/>
          </w:tcPr>
          <w:p>
            <w:pPr>
              <w:spacing w:line="240" w:lineRule="exact"/>
              <w:jc w:val="center"/>
              <w:rPr>
                <w:rFonts w:hint="eastAsia" w:ascii="宋体" w:hAnsi="宋体" w:cs="宋体"/>
                <w:sz w:val="15"/>
                <w:szCs w:val="15"/>
                <w:highlight w:val="none"/>
              </w:rPr>
            </w:pPr>
            <w:r>
              <w:rPr>
                <w:rFonts w:hint="eastAsia" w:ascii="宋体" w:hAnsi="宋体" w:cs="宋体"/>
                <w:sz w:val="15"/>
                <w:szCs w:val="15"/>
                <w:highlight w:val="none"/>
              </w:rPr>
              <w:t>4*2</w:t>
            </w:r>
          </w:p>
        </w:tc>
        <w:tc>
          <w:tcPr>
            <w:tcW w:w="638" w:type="dxa"/>
            <w:shd w:val="clear" w:color="FFFFFF" w:themeColor="background1" w:fill="auto"/>
            <w:vAlign w:val="center"/>
          </w:tcPr>
          <w:p>
            <w:pPr>
              <w:spacing w:line="240" w:lineRule="exact"/>
              <w:jc w:val="center"/>
              <w:rPr>
                <w:rFonts w:hint="eastAsia" w:ascii="宋体" w:hAnsi="宋体" w:cs="宋体"/>
                <w:sz w:val="15"/>
                <w:szCs w:val="15"/>
                <w:highlight w:val="none"/>
              </w:rPr>
            </w:pPr>
            <w:r>
              <w:rPr>
                <w:rFonts w:hint="eastAsia" w:ascii="宋体" w:hAnsi="宋体" w:cs="宋体"/>
                <w:sz w:val="15"/>
                <w:szCs w:val="15"/>
                <w:highlight w:val="none"/>
              </w:rPr>
              <w:t>4*2</w:t>
            </w:r>
          </w:p>
        </w:tc>
        <w:tc>
          <w:tcPr>
            <w:tcW w:w="612" w:type="dxa"/>
            <w:vAlign w:val="center"/>
          </w:tcPr>
          <w:p>
            <w:pPr>
              <w:widowControl/>
              <w:spacing w:line="240" w:lineRule="exact"/>
              <w:ind w:right="-141" w:rightChars="-67"/>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49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6</w:t>
            </w:r>
          </w:p>
        </w:tc>
        <w:tc>
          <w:tcPr>
            <w:tcW w:w="2300" w:type="dxa"/>
            <w:gridSpan w:val="3"/>
            <w:vAlign w:val="center"/>
          </w:tcPr>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大学生心理健康教育*</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22</w:t>
            </w:r>
          </w:p>
        </w:tc>
        <w:tc>
          <w:tcPr>
            <w:tcW w:w="4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10</w:t>
            </w: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开卷考试</w:t>
            </w:r>
          </w:p>
        </w:tc>
        <w:tc>
          <w:tcPr>
            <w:tcW w:w="6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1*18</w:t>
            </w: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1*14</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z w:val="15"/>
                <w:szCs w:val="15"/>
                <w:highlight w:val="none"/>
              </w:rPr>
            </w:pPr>
          </w:p>
        </w:tc>
        <w:tc>
          <w:tcPr>
            <w:tcW w:w="612" w:type="dxa"/>
            <w:vAlign w:val="center"/>
          </w:tcPr>
          <w:p>
            <w:pPr>
              <w:widowControl/>
              <w:spacing w:line="240" w:lineRule="exact"/>
              <w:ind w:right="-141" w:rightChars="-67"/>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49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7</w:t>
            </w:r>
          </w:p>
        </w:tc>
        <w:tc>
          <w:tcPr>
            <w:tcW w:w="2300" w:type="dxa"/>
            <w:gridSpan w:val="3"/>
            <w:vAlign w:val="center"/>
          </w:tcPr>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大学生职业发展与就业指导*</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40</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30</w:t>
            </w:r>
          </w:p>
        </w:tc>
        <w:tc>
          <w:tcPr>
            <w:tcW w:w="4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10</w:t>
            </w: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开卷考试</w:t>
            </w:r>
          </w:p>
        </w:tc>
        <w:tc>
          <w:tcPr>
            <w:tcW w:w="6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3*4</w:t>
            </w: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4*4</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3*4</w:t>
            </w:r>
          </w:p>
        </w:tc>
        <w:tc>
          <w:tcPr>
            <w:tcW w:w="612" w:type="dxa"/>
            <w:vAlign w:val="center"/>
          </w:tcPr>
          <w:p>
            <w:pPr>
              <w:widowControl/>
              <w:spacing w:line="240" w:lineRule="exact"/>
              <w:ind w:right="-141" w:rightChars="-67"/>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49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8</w:t>
            </w:r>
          </w:p>
        </w:tc>
        <w:tc>
          <w:tcPr>
            <w:tcW w:w="2300" w:type="dxa"/>
            <w:gridSpan w:val="3"/>
            <w:vAlign w:val="center"/>
          </w:tcPr>
          <w:p>
            <w:pPr>
              <w:widowControl/>
              <w:spacing w:line="240" w:lineRule="exact"/>
              <w:ind w:right="-141" w:rightChars="-67" w:firstLine="600" w:firstLineChars="400"/>
              <w:rPr>
                <w:rFonts w:ascii="宋体" w:hAnsi="宋体" w:cs="宋体"/>
                <w:sz w:val="15"/>
                <w:szCs w:val="15"/>
                <w:highlight w:val="none"/>
              </w:rPr>
            </w:pPr>
            <w:r>
              <w:rPr>
                <w:rFonts w:hint="eastAsia" w:ascii="宋体" w:hAnsi="宋体" w:cs="宋体"/>
                <w:sz w:val="15"/>
                <w:szCs w:val="15"/>
                <w:highlight w:val="none"/>
              </w:rPr>
              <w:t>安全教育</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24</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24</w:t>
            </w:r>
          </w:p>
        </w:tc>
        <w:tc>
          <w:tcPr>
            <w:tcW w:w="4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0</w:t>
            </w: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技能测试</w:t>
            </w:r>
          </w:p>
        </w:tc>
        <w:tc>
          <w:tcPr>
            <w:tcW w:w="6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1*4</w:t>
            </w: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1*4</w:t>
            </w: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1*4</w:t>
            </w:r>
          </w:p>
        </w:tc>
        <w:tc>
          <w:tcPr>
            <w:tcW w:w="58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1*4</w:t>
            </w:r>
          </w:p>
        </w:tc>
        <w:tc>
          <w:tcPr>
            <w:tcW w:w="63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1*4</w:t>
            </w:r>
          </w:p>
        </w:tc>
        <w:tc>
          <w:tcPr>
            <w:tcW w:w="612" w:type="dxa"/>
            <w:vAlign w:val="center"/>
          </w:tcPr>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49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9</w:t>
            </w:r>
          </w:p>
        </w:tc>
        <w:tc>
          <w:tcPr>
            <w:tcW w:w="2300" w:type="dxa"/>
            <w:gridSpan w:val="3"/>
            <w:vAlign w:val="center"/>
          </w:tcPr>
          <w:p>
            <w:pPr>
              <w:widowControl/>
              <w:spacing w:line="240" w:lineRule="exact"/>
              <w:ind w:right="-141" w:rightChars="-67" w:firstLine="750" w:firstLineChars="500"/>
              <w:rPr>
                <w:rFonts w:ascii="宋体" w:hAnsi="宋体" w:cs="宋体"/>
                <w:sz w:val="15"/>
                <w:szCs w:val="15"/>
                <w:highlight w:val="none"/>
              </w:rPr>
            </w:pPr>
            <w:r>
              <w:rPr>
                <w:rFonts w:hint="eastAsia" w:ascii="宋体" w:hAnsi="宋体" w:cs="宋体"/>
                <w:sz w:val="15"/>
                <w:szCs w:val="15"/>
                <w:highlight w:val="none"/>
              </w:rPr>
              <w:t>军训*</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80</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36</w:t>
            </w:r>
          </w:p>
        </w:tc>
        <w:tc>
          <w:tcPr>
            <w:tcW w:w="4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44</w:t>
            </w: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技能测试</w:t>
            </w:r>
          </w:p>
        </w:tc>
        <w:tc>
          <w:tcPr>
            <w:tcW w:w="6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2周</w:t>
            </w:r>
          </w:p>
        </w:tc>
        <w:tc>
          <w:tcPr>
            <w:tcW w:w="612" w:type="dxa"/>
            <w:vAlign w:val="center"/>
          </w:tcPr>
          <w:p>
            <w:pPr>
              <w:spacing w:line="240" w:lineRule="exact"/>
              <w:jc w:val="center"/>
              <w:rPr>
                <w:rFonts w:ascii="宋体" w:hAnsi="宋体" w:cs="宋体"/>
                <w:sz w:val="15"/>
                <w:szCs w:val="15"/>
                <w:highlight w:val="none"/>
              </w:rPr>
            </w:pP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z w:val="15"/>
                <w:szCs w:val="15"/>
                <w:highlight w:val="none"/>
              </w:rPr>
            </w:pPr>
          </w:p>
        </w:tc>
        <w:tc>
          <w:tcPr>
            <w:tcW w:w="612" w:type="dxa"/>
            <w:vAlign w:val="center"/>
          </w:tcPr>
          <w:p>
            <w:pPr>
              <w:widowControl/>
              <w:spacing w:line="240" w:lineRule="exact"/>
              <w:ind w:right="-141" w:rightChars="-67"/>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49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10</w:t>
            </w:r>
          </w:p>
        </w:tc>
        <w:tc>
          <w:tcPr>
            <w:tcW w:w="2300" w:type="dxa"/>
            <w:gridSpan w:val="3"/>
            <w:vAlign w:val="center"/>
          </w:tcPr>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体育（一）（部分专业不设）</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Merge w:val="restart"/>
            <w:vAlign w:val="center"/>
          </w:tcPr>
          <w:p>
            <w:pPr>
              <w:widowControl/>
              <w:spacing w:line="240" w:lineRule="exact"/>
              <w:ind w:right="-141" w:rightChars="-67"/>
              <w:jc w:val="center"/>
              <w:rPr>
                <w:rFonts w:ascii="宋体" w:hAnsi="宋体" w:cs="宋体"/>
                <w:sz w:val="15"/>
                <w:szCs w:val="15"/>
                <w:highlight w:val="none"/>
              </w:rPr>
            </w:pPr>
          </w:p>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2</w:t>
            </w:r>
          </w:p>
          <w:p>
            <w:pPr>
              <w:widowControl/>
              <w:spacing w:line="240" w:lineRule="exact"/>
              <w:ind w:right="-141" w:rightChars="-67"/>
              <w:jc w:val="center"/>
              <w:rPr>
                <w:rFonts w:ascii="宋体" w:hAnsi="宋体" w:cs="宋体"/>
                <w:sz w:val="15"/>
                <w:szCs w:val="15"/>
                <w:highlight w:val="none"/>
              </w:rPr>
            </w:pPr>
          </w:p>
          <w:p>
            <w:pPr>
              <w:widowControl/>
              <w:spacing w:line="240" w:lineRule="exact"/>
              <w:ind w:right="-141" w:rightChars="-67"/>
              <w:jc w:val="center"/>
              <w:rPr>
                <w:rFonts w:ascii="宋体" w:hAnsi="宋体" w:cs="宋体"/>
                <w:sz w:val="15"/>
                <w:szCs w:val="15"/>
                <w:highlight w:val="none"/>
              </w:rPr>
            </w:pP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26</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24</w:t>
            </w: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技能测试</w:t>
            </w:r>
          </w:p>
        </w:tc>
        <w:tc>
          <w:tcPr>
            <w:tcW w:w="6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612" w:type="dxa"/>
            <w:vAlign w:val="center"/>
          </w:tcPr>
          <w:p>
            <w:pPr>
              <w:spacing w:line="240" w:lineRule="exact"/>
              <w:jc w:val="center"/>
              <w:rPr>
                <w:rFonts w:ascii="宋体" w:hAnsi="宋体" w:cs="宋体"/>
                <w:sz w:val="15"/>
                <w:szCs w:val="15"/>
                <w:highlight w:val="none"/>
              </w:rPr>
            </w:pP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49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11</w:t>
            </w:r>
          </w:p>
        </w:tc>
        <w:tc>
          <w:tcPr>
            <w:tcW w:w="2300" w:type="dxa"/>
            <w:gridSpan w:val="3"/>
            <w:vAlign w:val="center"/>
          </w:tcPr>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体育（二）（部分专业不设）</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Merge w:val="continue"/>
            <w:vAlign w:val="center"/>
          </w:tcPr>
          <w:p>
            <w:pPr>
              <w:widowControl/>
              <w:spacing w:line="240" w:lineRule="exact"/>
              <w:ind w:right="-141" w:rightChars="-67"/>
              <w:jc w:val="center"/>
              <w:rPr>
                <w:rFonts w:ascii="宋体" w:hAnsi="宋体" w:cs="宋体"/>
                <w:sz w:val="15"/>
                <w:szCs w:val="15"/>
                <w:highlight w:val="none"/>
              </w:rPr>
            </w:pP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30</w:t>
            </w: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技能测试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49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12</w:t>
            </w:r>
          </w:p>
        </w:tc>
        <w:tc>
          <w:tcPr>
            <w:tcW w:w="2300" w:type="dxa"/>
            <w:gridSpan w:val="3"/>
            <w:vAlign w:val="center"/>
          </w:tcPr>
          <w:p>
            <w:pPr>
              <w:widowControl/>
              <w:spacing w:line="240" w:lineRule="exact"/>
              <w:ind w:right="-141" w:rightChars="-67"/>
              <w:jc w:val="center"/>
              <w:rPr>
                <w:rFonts w:ascii="宋体" w:hAnsi="宋体" w:cs="宋体"/>
                <w:sz w:val="15"/>
                <w:szCs w:val="15"/>
                <w:highlight w:val="none"/>
              </w:rPr>
            </w:pPr>
            <w:r>
              <w:rPr>
                <w:rFonts w:hint="eastAsia" w:ascii="宋体" w:hAnsi="宋体" w:cs="宋体"/>
                <w:sz w:val="15"/>
                <w:szCs w:val="15"/>
                <w:highlight w:val="none"/>
              </w:rPr>
              <w:t>体育（三）（部分专业不设）</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Merge w:val="continue"/>
            <w:vAlign w:val="center"/>
          </w:tcPr>
          <w:p>
            <w:pPr>
              <w:widowControl/>
              <w:spacing w:line="240" w:lineRule="exact"/>
              <w:ind w:right="-141" w:rightChars="-67"/>
              <w:jc w:val="center"/>
              <w:rPr>
                <w:rFonts w:ascii="宋体" w:hAnsi="宋体" w:cs="宋体"/>
                <w:sz w:val="15"/>
                <w:szCs w:val="15"/>
                <w:highlight w:val="none"/>
              </w:rPr>
            </w:pP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16</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14</w:t>
            </w: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技能测试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2*8</w:t>
            </w: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9220" w:type="dxa"/>
            <w:gridSpan w:val="16"/>
            <w:vAlign w:val="center"/>
          </w:tcPr>
          <w:p>
            <w:pPr>
              <w:widowControl/>
              <w:spacing w:line="240" w:lineRule="exact"/>
              <w:jc w:val="left"/>
              <w:rPr>
                <w:rFonts w:ascii="宋体" w:hAnsi="宋体" w:cs="宋体"/>
                <w:sz w:val="15"/>
                <w:szCs w:val="15"/>
                <w:highlight w:val="none"/>
              </w:rPr>
            </w:pPr>
            <w:r>
              <w:rPr>
                <w:rFonts w:hint="eastAsia" w:ascii="宋体" w:hAnsi="宋体" w:cs="宋体"/>
                <w:sz w:val="15"/>
                <w:szCs w:val="15"/>
                <w:highlight w:val="none"/>
              </w:rPr>
              <w:t>备注：1.带“*”号课程排课不计入周学时。就业指导含始业教育、就业指导、毕业教育等内容。</w:t>
            </w:r>
          </w:p>
          <w:p>
            <w:pPr>
              <w:widowControl/>
              <w:numPr>
                <w:ilvl w:val="0"/>
                <w:numId w:val="4"/>
              </w:numPr>
              <w:spacing w:line="240" w:lineRule="exact"/>
              <w:ind w:firstLine="450" w:firstLineChars="300"/>
              <w:jc w:val="left"/>
              <w:rPr>
                <w:rFonts w:ascii="宋体" w:hAnsi="宋体" w:cs="宋体"/>
                <w:sz w:val="15"/>
                <w:szCs w:val="15"/>
                <w:highlight w:val="none"/>
              </w:rPr>
            </w:pPr>
            <w:r>
              <w:rPr>
                <w:rFonts w:hint="eastAsia" w:ascii="宋体" w:hAnsi="宋体" w:cs="宋体"/>
                <w:sz w:val="15"/>
                <w:szCs w:val="15"/>
                <w:highlight w:val="none"/>
              </w:rPr>
              <w:t>综合素质必修课须修满18学分，不设体育的专业为16学分。</w:t>
            </w:r>
          </w:p>
          <w:p>
            <w:pPr>
              <w:widowControl/>
              <w:numPr>
                <w:ilvl w:val="0"/>
                <w:numId w:val="4"/>
              </w:numPr>
              <w:spacing w:line="240" w:lineRule="exact"/>
              <w:ind w:firstLine="450" w:firstLineChars="300"/>
              <w:jc w:val="left"/>
              <w:rPr>
                <w:rFonts w:ascii="宋体" w:hAnsi="宋体" w:cs="宋体"/>
                <w:sz w:val="15"/>
                <w:szCs w:val="15"/>
                <w:highlight w:val="none"/>
              </w:rPr>
            </w:pPr>
            <w:r>
              <w:rPr>
                <w:rFonts w:hint="eastAsia" w:ascii="宋体" w:hAnsi="宋体" w:cs="宋体"/>
                <w:sz w:val="15"/>
                <w:szCs w:val="15"/>
                <w:highlight w:val="none"/>
              </w:rPr>
              <w:t>不设体育的专业包括舞蹈系全部专业、戏剧系全部专业和音乐系歌舞表演专业。</w:t>
            </w:r>
          </w:p>
          <w:p>
            <w:pPr>
              <w:widowControl/>
              <w:numPr>
                <w:ilvl w:val="0"/>
                <w:numId w:val="4"/>
              </w:numPr>
              <w:spacing w:line="240" w:lineRule="exact"/>
              <w:ind w:firstLine="450" w:firstLineChars="300"/>
              <w:jc w:val="left"/>
              <w:rPr>
                <w:rFonts w:ascii="宋体" w:hAnsi="宋体" w:cs="宋体"/>
                <w:sz w:val="15"/>
                <w:szCs w:val="15"/>
                <w:highlight w:val="none"/>
              </w:rPr>
            </w:pPr>
            <w:r>
              <w:rPr>
                <w:rFonts w:hint="eastAsia" w:ascii="宋体" w:hAnsi="宋体" w:cs="宋体"/>
                <w:sz w:val="15"/>
                <w:szCs w:val="15"/>
                <w:highlight w:val="none"/>
              </w:rPr>
              <w:t>体育（三）从第四学期期初开始连续上8周。</w:t>
            </w:r>
            <w:r>
              <w:rPr>
                <w:rFonts w:hint="eastAsia" w:ascii="宋体" w:hAnsi="宋体" w:cs="宋体"/>
                <w:sz w:val="15"/>
                <w:szCs w:val="15"/>
                <w:highlight w:val="none"/>
              </w:rPr>
              <w:tab/>
            </w:r>
          </w:p>
          <w:p>
            <w:pPr>
              <w:widowControl/>
              <w:numPr>
                <w:ilvl w:val="0"/>
                <w:numId w:val="4"/>
              </w:numPr>
              <w:spacing w:line="240" w:lineRule="exact"/>
              <w:ind w:firstLine="450" w:firstLineChars="300"/>
              <w:jc w:val="left"/>
              <w:rPr>
                <w:rFonts w:ascii="宋体" w:hAnsi="宋体" w:cs="宋体"/>
                <w:sz w:val="15"/>
                <w:szCs w:val="15"/>
                <w:highlight w:val="none"/>
              </w:rPr>
            </w:pPr>
            <w:r>
              <w:rPr>
                <w:rFonts w:hint="eastAsia" w:ascii="宋体" w:hAnsi="宋体" w:cs="宋体"/>
                <w:sz w:val="15"/>
                <w:szCs w:val="15"/>
                <w:highlight w:val="none"/>
              </w:rPr>
              <w:t>安全教育每学期须完成60节微课，每个微课3分钟，每学期合计4学时。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520" w:type="dxa"/>
            <w:vMerge w:val="restart"/>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综合素质限定选修课</w:t>
            </w: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w:t>
            </w:r>
          </w:p>
        </w:tc>
        <w:tc>
          <w:tcPr>
            <w:tcW w:w="50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文史类</w:t>
            </w: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大学语文</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26</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26</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闭卷考试</w:t>
            </w:r>
          </w:p>
        </w:tc>
        <w:tc>
          <w:tcPr>
            <w:tcW w:w="650" w:type="dxa"/>
            <w:vAlign w:val="center"/>
          </w:tcPr>
          <w:p>
            <w:pPr>
              <w:spacing w:line="240" w:lineRule="exact"/>
              <w:jc w:val="center"/>
              <w:rPr>
                <w:rFonts w:ascii="宋体" w:hAnsi="宋体" w:cs="宋体"/>
                <w:sz w:val="15"/>
                <w:szCs w:val="15"/>
                <w:highlight w:val="none"/>
              </w:rPr>
            </w:pPr>
            <w:r>
              <w:rPr>
                <w:rFonts w:hint="eastAsia" w:ascii="宋体" w:hAnsi="宋体" w:cs="宋体"/>
                <w:color w:val="0000FF"/>
                <w:sz w:val="15"/>
                <w:szCs w:val="15"/>
                <w:highlight w:val="none"/>
              </w:rPr>
              <w:t>√</w:t>
            </w:r>
          </w:p>
        </w:tc>
        <w:tc>
          <w:tcPr>
            <w:tcW w:w="612" w:type="dxa"/>
            <w:vAlign w:val="center"/>
          </w:tcPr>
          <w:p>
            <w:pPr>
              <w:spacing w:line="240" w:lineRule="exact"/>
              <w:jc w:val="center"/>
              <w:rPr>
                <w:rFonts w:ascii="宋体" w:hAnsi="宋体" w:cs="宋体"/>
                <w:sz w:val="15"/>
                <w:szCs w:val="15"/>
                <w:highlight w:val="none"/>
              </w:rPr>
            </w:pP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50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外语类</w:t>
            </w: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大学英语</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26</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26</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口试+笔试</w:t>
            </w:r>
          </w:p>
        </w:tc>
        <w:tc>
          <w:tcPr>
            <w:tcW w:w="6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12" w:type="dxa"/>
            <w:vAlign w:val="center"/>
          </w:tcPr>
          <w:p>
            <w:pPr>
              <w:spacing w:line="240" w:lineRule="exact"/>
              <w:jc w:val="center"/>
              <w:rPr>
                <w:rFonts w:ascii="宋体" w:hAnsi="宋体" w:cs="宋体"/>
                <w:sz w:val="15"/>
                <w:szCs w:val="15"/>
                <w:highlight w:val="none"/>
              </w:rPr>
            </w:pP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w:t>
            </w:r>
          </w:p>
        </w:tc>
        <w:tc>
          <w:tcPr>
            <w:tcW w:w="50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综合类</w:t>
            </w: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计算机应用基础</w:t>
            </w:r>
          </w:p>
          <w:p>
            <w:pPr>
              <w:spacing w:line="240" w:lineRule="exact"/>
              <w:jc w:val="center"/>
              <w:rPr>
                <w:rFonts w:ascii="宋体" w:hAnsi="宋体" w:cs="宋体"/>
                <w:sz w:val="15"/>
                <w:szCs w:val="15"/>
                <w:highlight w:val="none"/>
              </w:rPr>
            </w:pPr>
            <w:r>
              <w:rPr>
                <w:rFonts w:hint="eastAsia" w:ascii="宋体" w:hAnsi="宋体" w:cs="宋体"/>
                <w:sz w:val="15"/>
                <w:szCs w:val="15"/>
                <w:highlight w:val="none"/>
              </w:rPr>
              <w:t>(部分专业不设）</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26</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26</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上机考试</w:t>
            </w:r>
          </w:p>
        </w:tc>
        <w:tc>
          <w:tcPr>
            <w:tcW w:w="6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12" w:type="dxa"/>
            <w:vAlign w:val="center"/>
          </w:tcPr>
          <w:p>
            <w:pPr>
              <w:spacing w:line="240" w:lineRule="exact"/>
              <w:jc w:val="center"/>
              <w:rPr>
                <w:rFonts w:ascii="宋体" w:hAnsi="宋体" w:cs="宋体"/>
                <w:sz w:val="15"/>
                <w:szCs w:val="15"/>
                <w:highlight w:val="none"/>
              </w:rPr>
            </w:pP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9220" w:type="dxa"/>
            <w:gridSpan w:val="16"/>
            <w:vAlign w:val="center"/>
          </w:tcPr>
          <w:p>
            <w:pPr>
              <w:widowControl/>
              <w:spacing w:line="240" w:lineRule="exact"/>
              <w:ind w:left="600" w:hanging="600" w:hangingChars="400"/>
              <w:jc w:val="left"/>
              <w:rPr>
                <w:rFonts w:ascii="宋体" w:hAnsi="宋体" w:cs="宋体"/>
                <w:sz w:val="15"/>
                <w:szCs w:val="15"/>
                <w:highlight w:val="none"/>
              </w:rPr>
            </w:pPr>
            <w:r>
              <w:rPr>
                <w:rFonts w:hint="eastAsia" w:ascii="宋体" w:hAnsi="宋体" w:cs="宋体"/>
                <w:sz w:val="15"/>
                <w:szCs w:val="15"/>
                <w:highlight w:val="none"/>
              </w:rPr>
              <w:t>备注：1、综合素质限定选修课最低须修满6学分。（其中文史类、外语类、综合类各2学分）。不设计算机应用基础的系部最低须修满4学分。（其中文史类、外语类各2学分）。</w:t>
            </w:r>
          </w:p>
          <w:p>
            <w:pPr>
              <w:widowControl/>
              <w:spacing w:line="240" w:lineRule="exact"/>
              <w:jc w:val="left"/>
              <w:rPr>
                <w:rFonts w:ascii="宋体" w:hAnsi="宋体" w:cs="宋体"/>
                <w:sz w:val="15"/>
                <w:szCs w:val="15"/>
                <w:highlight w:val="none"/>
              </w:rPr>
            </w:pPr>
            <w:r>
              <w:rPr>
                <w:rFonts w:hint="eastAsia" w:ascii="宋体" w:hAnsi="宋体" w:cs="宋体"/>
                <w:sz w:val="15"/>
                <w:szCs w:val="15"/>
                <w:highlight w:val="none"/>
              </w:rPr>
              <w:t xml:space="preserve">      2、不设计算机应用基础的专业包括影视技术系和美术系全部专业。（其中不包含3+2专业）。</w:t>
            </w:r>
          </w:p>
          <w:p>
            <w:pPr>
              <w:widowControl/>
              <w:spacing w:line="240" w:lineRule="exact"/>
              <w:jc w:val="left"/>
              <w:rPr>
                <w:rFonts w:ascii="宋体" w:hAnsi="宋体" w:cs="宋体"/>
                <w:sz w:val="15"/>
                <w:szCs w:val="15"/>
                <w:highlight w:val="none"/>
              </w:rPr>
            </w:pPr>
            <w:r>
              <w:rPr>
                <w:rFonts w:hint="eastAsia" w:ascii="宋体" w:hAnsi="宋体" w:cs="宋体"/>
                <w:sz w:val="15"/>
                <w:szCs w:val="15"/>
                <w:highlight w:val="none"/>
              </w:rPr>
              <w:t xml:space="preserve">      3、大学英语课程将根据学生英语水平实行分层教学，分为大学英语（初阶）和大学英语（中阶），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20" w:type="dxa"/>
            <w:vMerge w:val="restart"/>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综合素质任意选修课</w:t>
            </w: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w:t>
            </w:r>
          </w:p>
        </w:tc>
        <w:tc>
          <w:tcPr>
            <w:tcW w:w="507" w:type="dxa"/>
            <w:vMerge w:val="restart"/>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文史类</w:t>
            </w:r>
          </w:p>
        </w:tc>
        <w:tc>
          <w:tcPr>
            <w:tcW w:w="1725" w:type="dxa"/>
            <w:vAlign w:val="center"/>
          </w:tcPr>
          <w:p>
            <w:pPr>
              <w:spacing w:line="240" w:lineRule="exact"/>
              <w:ind w:firstLine="300" w:firstLineChars="200"/>
              <w:jc w:val="center"/>
              <w:rPr>
                <w:rFonts w:ascii="宋体" w:hAnsi="宋体" w:cs="宋体"/>
                <w:sz w:val="15"/>
                <w:szCs w:val="15"/>
                <w:highlight w:val="none"/>
              </w:rPr>
            </w:pPr>
            <w:r>
              <w:rPr>
                <w:rFonts w:hint="eastAsia" w:ascii="宋体" w:hAnsi="宋体" w:cs="宋体"/>
                <w:sz w:val="15"/>
                <w:szCs w:val="15"/>
                <w:highlight w:val="none"/>
              </w:rPr>
              <w:t>文化杂谈</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古典诗词欣赏</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世界名著赏析</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4</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影视文学欣赏</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5</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应用文写作</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6</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普通话正音</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现场面试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7</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东西方文化比较</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8</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文学大家</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9</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专升本语文（上）</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10</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专升本语文（下）</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11</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经典诵读</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现场面试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12</w:t>
            </w:r>
          </w:p>
        </w:tc>
        <w:tc>
          <w:tcPr>
            <w:tcW w:w="507" w:type="dxa"/>
            <w:vMerge w:val="restart"/>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外语类</w:t>
            </w:r>
          </w:p>
        </w:tc>
        <w:tc>
          <w:tcPr>
            <w:tcW w:w="1725" w:type="dxa"/>
            <w:vAlign w:val="center"/>
          </w:tcPr>
          <w:p>
            <w:pPr>
              <w:spacing w:line="240" w:lineRule="exact"/>
              <w:ind w:firstLine="450" w:firstLineChars="300"/>
              <w:rPr>
                <w:rFonts w:ascii="宋体" w:hAnsi="宋体" w:cs="宋体"/>
                <w:sz w:val="15"/>
                <w:szCs w:val="15"/>
                <w:highlight w:val="none"/>
              </w:rPr>
            </w:pPr>
            <w:r>
              <w:rPr>
                <w:rFonts w:hint="eastAsia" w:ascii="宋体" w:hAnsi="宋体" w:cs="宋体"/>
                <w:sz w:val="15"/>
                <w:szCs w:val="15"/>
                <w:highlight w:val="none"/>
              </w:rPr>
              <w:t>影视英语</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口试+笔试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13</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大学英语（高阶）</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4</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64</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64</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口试+笔试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14</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戏剧英语</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口试+笔试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15</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英语视听说</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口试+笔试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16</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音乐英语</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口试+笔试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17</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英语视听说（高级）</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口试+笔试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18</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专升本英语（上）</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口试+笔试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19</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专升本英语（下）</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口试+笔试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20</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英语三级辅导</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口试+笔试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21</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英语应用能力考级辅导（A级）</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口试+笔试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22</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英语应用能力考级辅导（B级）</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口试+笔试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23</w:t>
            </w:r>
          </w:p>
        </w:tc>
        <w:tc>
          <w:tcPr>
            <w:tcW w:w="507" w:type="dxa"/>
            <w:vMerge w:val="restart"/>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综合类</w:t>
            </w: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视频剪辑技术</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24</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图像处理技术</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25</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ascii="宋体" w:hAnsi="宋体" w:cs="宋体"/>
                <w:sz w:val="15"/>
                <w:szCs w:val="15"/>
                <w:highlight w:val="none"/>
              </w:rPr>
              <w:t>F</w:t>
            </w:r>
            <w:r>
              <w:rPr>
                <w:rFonts w:hint="eastAsia" w:ascii="宋体" w:hAnsi="宋体" w:cs="宋体"/>
                <w:sz w:val="15"/>
                <w:szCs w:val="15"/>
                <w:highlight w:val="none"/>
              </w:rPr>
              <w:t>lash动画设计基础</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26</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办公软件应用</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上机考试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27</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3D建模实训</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28</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程序设计入门</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分组作业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29</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流行音乐导赏</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30</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趣味逻辑</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31</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ind w:firstLine="450" w:firstLineChars="300"/>
              <w:rPr>
                <w:rFonts w:ascii="宋体" w:hAnsi="宋体" w:cs="宋体"/>
                <w:sz w:val="15"/>
                <w:szCs w:val="15"/>
                <w:highlight w:val="none"/>
              </w:rPr>
            </w:pPr>
            <w:r>
              <w:rPr>
                <w:rFonts w:hint="eastAsia" w:ascii="宋体" w:hAnsi="宋体" w:cs="宋体"/>
                <w:sz w:val="15"/>
                <w:szCs w:val="15"/>
                <w:highlight w:val="none"/>
              </w:rPr>
              <w:t>戏剧欣赏</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中西方文化论</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26</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26</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大型作业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33</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ind w:firstLine="600" w:firstLineChars="400"/>
              <w:rPr>
                <w:rFonts w:ascii="宋体" w:hAnsi="宋体" w:cs="宋体"/>
                <w:sz w:val="15"/>
                <w:szCs w:val="15"/>
                <w:highlight w:val="none"/>
              </w:rPr>
            </w:pPr>
            <w:r>
              <w:rPr>
                <w:rFonts w:hint="eastAsia" w:ascii="宋体" w:hAnsi="宋体" w:cs="宋体"/>
                <w:sz w:val="15"/>
                <w:szCs w:val="15"/>
                <w:highlight w:val="none"/>
              </w:rPr>
              <w:t>书法</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作业</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563" w:type="dxa"/>
            <w:gridSpan w:val="2"/>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34</w:t>
            </w:r>
          </w:p>
        </w:tc>
        <w:tc>
          <w:tcPr>
            <w:tcW w:w="507" w:type="dxa"/>
            <w:vMerge w:val="continue"/>
            <w:vAlign w:val="center"/>
          </w:tcPr>
          <w:p>
            <w:pPr>
              <w:spacing w:line="240" w:lineRule="exact"/>
              <w:jc w:val="center"/>
              <w:rPr>
                <w:rFonts w:ascii="宋体" w:hAnsi="宋体" w:cs="宋体"/>
                <w:sz w:val="15"/>
                <w:szCs w:val="15"/>
                <w:highlight w:val="none"/>
              </w:rPr>
            </w:pPr>
          </w:p>
        </w:tc>
        <w:tc>
          <w:tcPr>
            <w:tcW w:w="1725"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心理学</w:t>
            </w:r>
          </w:p>
        </w:tc>
        <w:tc>
          <w:tcPr>
            <w:tcW w:w="350"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A</w:t>
            </w:r>
          </w:p>
        </w:tc>
        <w:tc>
          <w:tcPr>
            <w:tcW w:w="401"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2</w:t>
            </w:r>
          </w:p>
        </w:tc>
        <w:tc>
          <w:tcPr>
            <w:tcW w:w="477"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32</w:t>
            </w:r>
          </w:p>
        </w:tc>
        <w:tc>
          <w:tcPr>
            <w:tcW w:w="425" w:type="dxa"/>
            <w:vAlign w:val="center"/>
          </w:tcPr>
          <w:p>
            <w:pPr>
              <w:spacing w:line="240" w:lineRule="exact"/>
              <w:jc w:val="center"/>
              <w:rPr>
                <w:rFonts w:ascii="宋体" w:hAnsi="宋体" w:cs="宋体"/>
                <w:sz w:val="15"/>
                <w:szCs w:val="15"/>
                <w:highlight w:val="none"/>
              </w:rPr>
            </w:pPr>
          </w:p>
        </w:tc>
        <w:tc>
          <w:tcPr>
            <w:tcW w:w="598"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开卷考试</w:t>
            </w:r>
          </w:p>
        </w:tc>
        <w:tc>
          <w:tcPr>
            <w:tcW w:w="650" w:type="dxa"/>
            <w:vAlign w:val="center"/>
          </w:tcPr>
          <w:p>
            <w:pPr>
              <w:spacing w:line="240" w:lineRule="exact"/>
              <w:jc w:val="center"/>
              <w:rPr>
                <w:rFonts w:ascii="宋体" w:hAnsi="宋体" w:cs="宋体"/>
                <w:sz w:val="15"/>
                <w:szCs w:val="15"/>
                <w:highlight w:val="none"/>
              </w:rPr>
            </w:pPr>
          </w:p>
        </w:tc>
        <w:tc>
          <w:tcPr>
            <w:tcW w:w="612"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663" w:type="dxa"/>
            <w:vAlign w:val="center"/>
          </w:tcPr>
          <w:p>
            <w:pPr>
              <w:spacing w:line="240" w:lineRule="exact"/>
              <w:jc w:val="center"/>
              <w:rPr>
                <w:rFonts w:ascii="宋体" w:hAnsi="宋体" w:cs="宋体"/>
                <w:sz w:val="15"/>
                <w:szCs w:val="15"/>
                <w:highlight w:val="none"/>
              </w:rPr>
            </w:pPr>
            <w:r>
              <w:rPr>
                <w:rFonts w:hint="eastAsia" w:ascii="宋体" w:hAnsi="宋体" w:cs="宋体"/>
                <w:sz w:val="15"/>
                <w:szCs w:val="15"/>
                <w:highlight w:val="none"/>
              </w:rPr>
              <w:t>√</w:t>
            </w:r>
          </w:p>
        </w:tc>
        <w:tc>
          <w:tcPr>
            <w:tcW w:w="587" w:type="dxa"/>
            <w:vAlign w:val="center"/>
          </w:tcPr>
          <w:p>
            <w:pPr>
              <w:spacing w:line="240" w:lineRule="exact"/>
              <w:jc w:val="center"/>
              <w:rPr>
                <w:rFonts w:ascii="宋体" w:hAnsi="宋体" w:cs="宋体"/>
                <w:sz w:val="15"/>
                <w:szCs w:val="15"/>
                <w:highlight w:val="none"/>
              </w:rPr>
            </w:pPr>
          </w:p>
        </w:tc>
        <w:tc>
          <w:tcPr>
            <w:tcW w:w="638" w:type="dxa"/>
            <w:vAlign w:val="center"/>
          </w:tcPr>
          <w:p>
            <w:pPr>
              <w:spacing w:line="240" w:lineRule="exact"/>
              <w:jc w:val="center"/>
              <w:rPr>
                <w:rFonts w:ascii="宋体" w:hAnsi="宋体" w:cs="宋体"/>
                <w:spacing w:val="-24"/>
                <w:sz w:val="15"/>
                <w:szCs w:val="15"/>
                <w:highlight w:val="none"/>
              </w:rPr>
            </w:pPr>
          </w:p>
        </w:tc>
        <w:tc>
          <w:tcPr>
            <w:tcW w:w="612" w:type="dxa"/>
            <w:vAlign w:val="center"/>
          </w:tcPr>
          <w:p>
            <w:pPr>
              <w:widowControl/>
              <w:spacing w:line="240" w:lineRule="exact"/>
              <w:jc w:val="center"/>
              <w:rPr>
                <w:rFonts w:ascii="宋体" w:hAnsi="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sz w:val="15"/>
                <w:szCs w:val="15"/>
                <w:highlight w:val="none"/>
              </w:rPr>
            </w:pPr>
          </w:p>
        </w:tc>
        <w:tc>
          <w:tcPr>
            <w:tcW w:w="9220" w:type="dxa"/>
            <w:gridSpan w:val="16"/>
            <w:vAlign w:val="center"/>
          </w:tcPr>
          <w:p>
            <w:pPr>
              <w:widowControl/>
              <w:spacing w:line="240" w:lineRule="exact"/>
              <w:jc w:val="left"/>
              <w:rPr>
                <w:rFonts w:ascii="宋体" w:hAnsi="宋体" w:cs="宋体"/>
                <w:sz w:val="15"/>
                <w:szCs w:val="15"/>
                <w:highlight w:val="none"/>
              </w:rPr>
            </w:pPr>
            <w:r>
              <w:rPr>
                <w:rFonts w:hint="eastAsia" w:ascii="宋体" w:hAnsi="宋体" w:cs="宋体"/>
                <w:sz w:val="15"/>
                <w:szCs w:val="15"/>
                <w:highlight w:val="none"/>
              </w:rPr>
              <w:t>备注：1.综合素质任意选修课最低须修满8学分，不设体育和计算机应用基础的专业为10学分。（其中文史类、外语类最低2学分）</w:t>
            </w:r>
          </w:p>
          <w:p>
            <w:pPr>
              <w:widowControl/>
              <w:numPr>
                <w:ilvl w:val="0"/>
                <w:numId w:val="5"/>
              </w:numPr>
              <w:spacing w:line="240" w:lineRule="exact"/>
              <w:jc w:val="left"/>
              <w:rPr>
                <w:rFonts w:ascii="宋体" w:hAnsi="宋体" w:cs="宋体"/>
                <w:sz w:val="15"/>
                <w:szCs w:val="15"/>
                <w:highlight w:val="none"/>
              </w:rPr>
            </w:pPr>
            <w:r>
              <w:rPr>
                <w:rFonts w:hint="eastAsia" w:ascii="宋体" w:hAnsi="宋体" w:cs="宋体"/>
                <w:sz w:val="15"/>
                <w:szCs w:val="15"/>
                <w:highlight w:val="none"/>
              </w:rPr>
              <w:t>办公软件应用课程仅限美术系和影视技术系学生选择。</w:t>
            </w:r>
          </w:p>
          <w:p>
            <w:pPr>
              <w:widowControl/>
              <w:numPr>
                <w:ilvl w:val="0"/>
                <w:numId w:val="5"/>
              </w:numPr>
              <w:spacing w:line="240" w:lineRule="exact"/>
              <w:jc w:val="left"/>
              <w:rPr>
                <w:rFonts w:ascii="宋体" w:hAnsi="宋体" w:cs="宋体"/>
                <w:sz w:val="15"/>
                <w:szCs w:val="15"/>
                <w:highlight w:val="none"/>
              </w:rPr>
            </w:pPr>
            <w:r>
              <w:rPr>
                <w:rFonts w:hint="eastAsia" w:ascii="宋体" w:hAnsi="宋体" w:cs="宋体"/>
                <w:sz w:val="15"/>
                <w:szCs w:val="15"/>
                <w:highlight w:val="none"/>
              </w:rPr>
              <w:t>专升本语文和英语为选拔性提高类课程，需提前填写申请表，由任课教师评估和开课部门审核后确定选课名单。为保证课程的连贯性，专升本语文和英语（上）、（下）两门课程须一起选，原则上中途不得退课。</w:t>
            </w:r>
          </w:p>
        </w:tc>
      </w:tr>
    </w:tbl>
    <w:tbl>
      <w:tblPr>
        <w:tblStyle w:val="6"/>
        <w:tblpPr w:leftFromText="180" w:rightFromText="180" w:vertAnchor="text" w:tblpX="-1258" w:tblpY="31772"/>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24" w:type="dxa"/>
          </w:tcPr>
          <w:p>
            <w:pPr>
              <w:pStyle w:val="8"/>
              <w:spacing w:before="0" w:beforeAutospacing="0" w:after="0" w:afterAutospacing="0" w:line="440" w:lineRule="exact"/>
              <w:jc w:val="both"/>
              <w:rPr>
                <w:sz w:val="32"/>
                <w:szCs w:val="32"/>
                <w:highlight w:val="none"/>
              </w:rPr>
            </w:pPr>
          </w:p>
        </w:tc>
      </w:tr>
    </w:tbl>
    <w:p>
      <w:pPr>
        <w:pStyle w:val="8"/>
        <w:spacing w:before="0" w:beforeAutospacing="0" w:after="0" w:afterAutospacing="0" w:line="440" w:lineRule="exact"/>
        <w:jc w:val="both"/>
        <w:rPr>
          <w:sz w:val="32"/>
          <w:szCs w:val="32"/>
          <w:highlight w:val="none"/>
        </w:rPr>
        <w:sectPr>
          <w:footerReference r:id="rId3" w:type="default"/>
          <w:pgSz w:w="11906" w:h="16838"/>
          <w:pgMar w:top="1134" w:right="1800" w:bottom="1134" w:left="1800" w:header="851" w:footer="567" w:gutter="0"/>
          <w:pgBorders>
            <w:top w:val="none" w:sz="0" w:space="0"/>
            <w:left w:val="none" w:sz="0" w:space="0"/>
            <w:bottom w:val="none" w:sz="0" w:space="0"/>
            <w:right w:val="none" w:sz="0" w:space="0"/>
          </w:pgBorders>
          <w:cols w:space="720" w:num="1"/>
          <w:docGrid w:type="lines" w:linePitch="318" w:charSpace="0"/>
        </w:sectPr>
      </w:pPr>
    </w:p>
    <w:p>
      <w:pPr>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E8B08"/>
    <w:multiLevelType w:val="singleLevel"/>
    <w:tmpl w:val="A3EE8B08"/>
    <w:lvl w:ilvl="0" w:tentative="0">
      <w:start w:val="1"/>
      <w:numFmt w:val="decimal"/>
      <w:lvlText w:val="%1."/>
      <w:lvlJc w:val="left"/>
      <w:pPr>
        <w:tabs>
          <w:tab w:val="left" w:pos="312"/>
        </w:tabs>
      </w:pPr>
    </w:lvl>
  </w:abstractNum>
  <w:abstractNum w:abstractNumId="1">
    <w:nsid w:val="B29420AD"/>
    <w:multiLevelType w:val="singleLevel"/>
    <w:tmpl w:val="B29420AD"/>
    <w:lvl w:ilvl="0" w:tentative="0">
      <w:start w:val="1"/>
      <w:numFmt w:val="decimal"/>
      <w:lvlText w:val="%1."/>
      <w:lvlJc w:val="left"/>
      <w:pPr>
        <w:tabs>
          <w:tab w:val="left" w:pos="312"/>
        </w:tabs>
      </w:pPr>
    </w:lvl>
  </w:abstractNum>
  <w:abstractNum w:abstractNumId="2">
    <w:nsid w:val="0A655A57"/>
    <w:multiLevelType w:val="singleLevel"/>
    <w:tmpl w:val="0A655A57"/>
    <w:lvl w:ilvl="0" w:tentative="0">
      <w:start w:val="2"/>
      <w:numFmt w:val="decimal"/>
      <w:suff w:val="nothing"/>
      <w:lvlText w:val="%1、"/>
      <w:lvlJc w:val="left"/>
      <w:pPr>
        <w:ind w:left="450" w:firstLine="0"/>
      </w:pPr>
    </w:lvl>
  </w:abstractNum>
  <w:abstractNum w:abstractNumId="3">
    <w:nsid w:val="32E40512"/>
    <w:multiLevelType w:val="singleLevel"/>
    <w:tmpl w:val="32E40512"/>
    <w:lvl w:ilvl="0" w:tentative="0">
      <w:start w:val="1"/>
      <w:numFmt w:val="decimal"/>
      <w:lvlText w:val="%1."/>
      <w:lvlJc w:val="left"/>
      <w:pPr>
        <w:tabs>
          <w:tab w:val="left" w:pos="312"/>
        </w:tabs>
      </w:pPr>
    </w:lvl>
  </w:abstractNum>
  <w:abstractNum w:abstractNumId="4">
    <w:nsid w:val="6E456CE9"/>
    <w:multiLevelType w:val="singleLevel"/>
    <w:tmpl w:val="6E456CE9"/>
    <w:lvl w:ilvl="0" w:tentative="0">
      <w:start w:val="2"/>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107FC"/>
    <w:rsid w:val="00165EF0"/>
    <w:rsid w:val="00235441"/>
    <w:rsid w:val="003107FC"/>
    <w:rsid w:val="0035293B"/>
    <w:rsid w:val="003A2B44"/>
    <w:rsid w:val="0041735D"/>
    <w:rsid w:val="00543B21"/>
    <w:rsid w:val="00564D61"/>
    <w:rsid w:val="005E0F28"/>
    <w:rsid w:val="0061244D"/>
    <w:rsid w:val="007247BC"/>
    <w:rsid w:val="0079371B"/>
    <w:rsid w:val="00795473"/>
    <w:rsid w:val="00B65203"/>
    <w:rsid w:val="00C75E33"/>
    <w:rsid w:val="00D3757F"/>
    <w:rsid w:val="00E12D43"/>
    <w:rsid w:val="00E9250E"/>
    <w:rsid w:val="051E16DC"/>
    <w:rsid w:val="06602B3C"/>
    <w:rsid w:val="08EF3762"/>
    <w:rsid w:val="0AB40AAD"/>
    <w:rsid w:val="1208025A"/>
    <w:rsid w:val="14217DF5"/>
    <w:rsid w:val="14E246C4"/>
    <w:rsid w:val="14E94BDA"/>
    <w:rsid w:val="180A4CFC"/>
    <w:rsid w:val="2351308E"/>
    <w:rsid w:val="2673079B"/>
    <w:rsid w:val="29280F74"/>
    <w:rsid w:val="2A6847FF"/>
    <w:rsid w:val="3451616F"/>
    <w:rsid w:val="35D56DE4"/>
    <w:rsid w:val="35E141E9"/>
    <w:rsid w:val="3707525F"/>
    <w:rsid w:val="43523D34"/>
    <w:rsid w:val="467B11F6"/>
    <w:rsid w:val="478B413A"/>
    <w:rsid w:val="54A5608C"/>
    <w:rsid w:val="61684009"/>
    <w:rsid w:val="61C11696"/>
    <w:rsid w:val="63481A1F"/>
    <w:rsid w:val="657E20D0"/>
    <w:rsid w:val="70D41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line="440" w:lineRule="exact"/>
      <w:jc w:val="center"/>
      <w:outlineLvl w:val="0"/>
    </w:pPr>
    <w:rPr>
      <w:rFonts w:ascii="黑体" w:hAnsi="黑体" w:eastAsia="黑体" w:cs="黑体"/>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Cambria" w:hAnsi="Cambria"/>
      <w:b/>
      <w:bCs/>
      <w:kern w:val="28"/>
      <w:sz w:val="32"/>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621</Words>
  <Characters>3543</Characters>
  <Lines>29</Lines>
  <Paragraphs>8</Paragraphs>
  <TotalTime>9</TotalTime>
  <ScaleCrop>false</ScaleCrop>
  <LinksUpToDate>false</LinksUpToDate>
  <CharactersWithSpaces>4156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2012-12-31T16:41:00Z</dcterms:created>
  <dc:creator>Administrator</dc:creator>
  <cp:lastModifiedBy>荷兰豆</cp:lastModifiedBy>
  <cp:lastPrinted>2018-04-24T07:11:00Z</cp:lastPrinted>
  <dcterms:modified xsi:type="dcterms:W3CDTF">2020-07-13T07:05:56Z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